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9E8" w:rsidRPr="00272142" w:rsidRDefault="00273628">
      <w:pPr>
        <w:pStyle w:val="Fliesstext"/>
      </w:pPr>
      <w:r>
        <w:t>Presse-</w:t>
      </w:r>
      <w:r w:rsidR="00EC39E8" w:rsidRPr="00272142">
        <w:t>Information</w:t>
      </w:r>
      <w:r w:rsidR="00960515">
        <w:t xml:space="preserve"> </w:t>
      </w:r>
      <w:r w:rsidR="00EC39E8" w:rsidRPr="00272142">
        <w:br/>
      </w:r>
      <w:bookmarkStart w:id="0" w:name="Datum"/>
      <w:r w:rsidR="00476CB6">
        <w:rPr>
          <w:lang w:val="en-US"/>
        </w:rPr>
        <w:fldChar w:fldCharType="begin">
          <w:ffData>
            <w:name w:val="Datum"/>
            <w:enabled/>
            <w:calcOnExit w:val="0"/>
            <w:textInput>
              <w:default w:val="4. Mai 2011"/>
            </w:textInput>
          </w:ffData>
        </w:fldChar>
      </w:r>
      <w:r w:rsidR="001F398B" w:rsidRPr="00E643B5">
        <w:instrText xml:space="preserve"> FORMTEXT </w:instrText>
      </w:r>
      <w:r w:rsidR="00476CB6">
        <w:rPr>
          <w:lang w:val="en-US"/>
        </w:rPr>
      </w:r>
      <w:r w:rsidR="00476CB6">
        <w:rPr>
          <w:lang w:val="en-US"/>
        </w:rPr>
        <w:fldChar w:fldCharType="separate"/>
      </w:r>
      <w:r w:rsidR="001F398B" w:rsidRPr="00E643B5">
        <w:rPr>
          <w:noProof/>
        </w:rPr>
        <w:t>4. Mai 2011</w:t>
      </w:r>
      <w:r w:rsidR="00476CB6">
        <w:rPr>
          <w:lang w:val="en-US"/>
        </w:rPr>
        <w:fldChar w:fldCharType="end"/>
      </w:r>
      <w:bookmarkEnd w:id="0"/>
      <w:r w:rsidR="00EC39E8" w:rsidRPr="00272142">
        <w:br/>
      </w:r>
    </w:p>
    <w:p w:rsidR="00EC39E8" w:rsidRPr="00272142" w:rsidRDefault="00EC39E8">
      <w:pPr>
        <w:pStyle w:val="Fliesstext"/>
      </w:pPr>
    </w:p>
    <w:p w:rsidR="00EC39E8" w:rsidRPr="00272142" w:rsidRDefault="00EC39E8">
      <w:pPr>
        <w:pStyle w:val="Fliesstext"/>
      </w:pPr>
    </w:p>
    <w:p w:rsidR="00EC39E8" w:rsidRPr="00272142" w:rsidRDefault="00273628" w:rsidP="00906DB2">
      <w:pPr>
        <w:pStyle w:val="zzmarginalieregular"/>
        <w:framePr w:h="1911" w:hRule="exact" w:wrap="around" w:x="568" w:y="14431"/>
      </w:pPr>
      <w:r>
        <w:t>Firma</w:t>
      </w:r>
    </w:p>
    <w:p w:rsidR="00EC39E8" w:rsidRPr="00272142" w:rsidRDefault="00EC39E8" w:rsidP="00906DB2">
      <w:pPr>
        <w:pStyle w:val="zzmarginalielight"/>
        <w:framePr w:h="1911" w:hRule="exact" w:wrap="around" w:x="568" w:y="14431"/>
      </w:pPr>
      <w:r w:rsidRPr="00272142">
        <w:t>Bayerische</w:t>
      </w:r>
    </w:p>
    <w:p w:rsidR="00EC39E8" w:rsidRPr="00272142" w:rsidRDefault="00EC39E8" w:rsidP="00906DB2">
      <w:pPr>
        <w:pStyle w:val="zzmarginalielight"/>
        <w:framePr w:h="1911" w:hRule="exact" w:wrap="around" w:x="568" w:y="14431"/>
      </w:pPr>
      <w:r w:rsidRPr="00272142">
        <w:t>Motoren Werke</w:t>
      </w:r>
    </w:p>
    <w:p w:rsidR="00EC39E8" w:rsidRPr="00272142" w:rsidRDefault="00EC39E8" w:rsidP="00906DB2">
      <w:pPr>
        <w:pStyle w:val="zzmarginalielight"/>
        <w:framePr w:h="1911" w:hRule="exact" w:wrap="around" w:x="568" w:y="14431"/>
      </w:pPr>
      <w:r w:rsidRPr="00272142">
        <w:t>Aktiengesellschaft</w:t>
      </w:r>
    </w:p>
    <w:p w:rsidR="00EC39E8" w:rsidRPr="00272142" w:rsidRDefault="00EC39E8" w:rsidP="00906DB2">
      <w:pPr>
        <w:pStyle w:val="zzmarginalielight"/>
        <w:framePr w:h="1911" w:hRule="exact" w:wrap="around" w:x="568" w:y="14431"/>
      </w:pPr>
    </w:p>
    <w:p w:rsidR="00EC39E8" w:rsidRPr="00273628" w:rsidRDefault="00273628" w:rsidP="00906DB2">
      <w:pPr>
        <w:pStyle w:val="zzmarginalieregular"/>
        <w:framePr w:h="1911" w:hRule="exact" w:wrap="around" w:x="568" w:y="14431"/>
      </w:pPr>
      <w:r w:rsidRPr="00273628">
        <w:t>P</w:t>
      </w:r>
      <w:r>
        <w:t>ostanschrift</w:t>
      </w:r>
    </w:p>
    <w:p w:rsidR="00EC39E8" w:rsidRPr="00273628" w:rsidRDefault="00EC39E8" w:rsidP="00906DB2">
      <w:pPr>
        <w:pStyle w:val="zzmarginalielight"/>
        <w:framePr w:h="1911" w:hRule="exact" w:wrap="around" w:x="568" w:y="14431"/>
      </w:pPr>
      <w:r w:rsidRPr="00273628">
        <w:t>BMW AG</w:t>
      </w:r>
    </w:p>
    <w:p w:rsidR="00EC39E8" w:rsidRPr="00273628" w:rsidRDefault="00EC39E8" w:rsidP="00906DB2">
      <w:pPr>
        <w:pStyle w:val="zzmarginalielight"/>
        <w:framePr w:h="1911" w:hRule="exact" w:wrap="around" w:x="568" w:y="14431"/>
      </w:pPr>
      <w:r w:rsidRPr="00273628">
        <w:t>80788 München</w:t>
      </w:r>
    </w:p>
    <w:p w:rsidR="00EC39E8" w:rsidRPr="00273628" w:rsidRDefault="00EC39E8" w:rsidP="00906DB2">
      <w:pPr>
        <w:pStyle w:val="zzmarginalielight"/>
        <w:framePr w:h="1911" w:hRule="exact" w:wrap="around" w:x="568" w:y="14431"/>
      </w:pPr>
    </w:p>
    <w:p w:rsidR="00EC39E8" w:rsidRPr="00273628" w:rsidRDefault="00EC39E8" w:rsidP="00906DB2">
      <w:pPr>
        <w:pStyle w:val="zzmarginalieregular"/>
        <w:framePr w:h="1911" w:hRule="exact" w:wrap="around" w:x="568" w:y="14431"/>
      </w:pPr>
      <w:r w:rsidRPr="00273628">
        <w:t>Tele</w:t>
      </w:r>
      <w:r w:rsidR="00273628">
        <w:t>f</w:t>
      </w:r>
      <w:r w:rsidRPr="00273628">
        <w:t>on</w:t>
      </w:r>
    </w:p>
    <w:p w:rsidR="00EC39E8" w:rsidRPr="000A230B" w:rsidRDefault="00476CB6" w:rsidP="00906DB2">
      <w:pPr>
        <w:pStyle w:val="zzmarginalielight"/>
        <w:framePr w:h="1911" w:hRule="exact" w:wrap="around" w:x="568" w:y="14431"/>
      </w:pPr>
      <w:r>
        <w:rPr>
          <w:lang w:val="en-US"/>
        </w:rPr>
        <w:fldChar w:fldCharType="begin">
          <w:ffData>
            <w:name w:val="Telefon1"/>
            <w:enabled/>
            <w:calcOnExit w:val="0"/>
            <w:textInput/>
          </w:ffData>
        </w:fldChar>
      </w:r>
      <w:bookmarkStart w:id="1" w:name="Telefon1"/>
      <w:r w:rsidR="00EC39E8" w:rsidRPr="000A230B"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 w:rsidR="001E49DB" w:rsidRPr="000A230B">
        <w:rPr>
          <w:noProof/>
        </w:rPr>
        <w:t>+49 89-382-24118</w:t>
      </w:r>
      <w:r>
        <w:rPr>
          <w:lang w:val="en-US"/>
        </w:rPr>
        <w:fldChar w:fldCharType="end"/>
      </w:r>
      <w:bookmarkEnd w:id="1"/>
    </w:p>
    <w:p w:rsidR="00EC39E8" w:rsidRPr="000A230B" w:rsidRDefault="00EC39E8" w:rsidP="00906DB2">
      <w:pPr>
        <w:pStyle w:val="zzmarginalielight"/>
        <w:framePr w:h="1911" w:hRule="exact" w:wrap="around" w:x="568" w:y="14431"/>
      </w:pPr>
    </w:p>
    <w:p w:rsidR="00EC39E8" w:rsidRPr="000A230B" w:rsidRDefault="00EC39E8" w:rsidP="00906DB2">
      <w:pPr>
        <w:pStyle w:val="zzmarginalieregular"/>
        <w:framePr w:h="1911" w:hRule="exact" w:wrap="around" w:x="568" w:y="14431"/>
      </w:pPr>
      <w:r w:rsidRPr="000A230B">
        <w:t>Internet</w:t>
      </w:r>
    </w:p>
    <w:p w:rsidR="00EC39E8" w:rsidRPr="000A230B" w:rsidRDefault="00EC39E8" w:rsidP="00906DB2">
      <w:pPr>
        <w:pStyle w:val="zzmarginalielight"/>
        <w:framePr w:h="1911" w:hRule="exact" w:wrap="around" w:x="568" w:y="14431"/>
      </w:pPr>
      <w:r w:rsidRPr="000A230B">
        <w:t>www.bmwgroup.com</w:t>
      </w:r>
    </w:p>
    <w:p w:rsidR="001F398B" w:rsidRPr="001E49DB" w:rsidRDefault="001F398B" w:rsidP="001E49DB">
      <w:pPr>
        <w:spacing w:line="240" w:lineRule="auto"/>
        <w:outlineLvl w:val="0"/>
        <w:rPr>
          <w:rStyle w:val="Char"/>
          <w:rFonts w:ascii="BMWType V2 Light" w:hAnsi="BMWType V2 Light" w:cs="BMWType V2 Light"/>
          <w:b/>
        </w:rPr>
      </w:pPr>
      <w:bookmarkStart w:id="2" w:name="OLE_LINK1"/>
      <w:bookmarkStart w:id="3" w:name="Subthema"/>
      <w:r>
        <w:rPr>
          <w:rStyle w:val="Char"/>
          <w:rFonts w:ascii="BMWType V2 Light" w:hAnsi="BMWType V2 Light" w:cs="BMWType V2 Light"/>
          <w:b/>
        </w:rPr>
        <w:t>BMW Group erzielt im ersten Quartal Rekordergebnis</w:t>
      </w:r>
    </w:p>
    <w:bookmarkEnd w:id="2"/>
    <w:bookmarkEnd w:id="3"/>
    <w:p w:rsidR="001F398B" w:rsidRDefault="001F398B" w:rsidP="001E49DB">
      <w:pPr>
        <w:spacing w:line="240" w:lineRule="auto"/>
        <w:outlineLvl w:val="0"/>
        <w:rPr>
          <w:rStyle w:val="Char"/>
          <w:rFonts w:ascii="BMWType V2 Light" w:hAnsi="BMWType V2 Light" w:cs="BMWType V2 Light"/>
          <w:bCs/>
          <w:color w:val="808080" w:themeColor="background1" w:themeShade="80"/>
        </w:rPr>
      </w:pPr>
      <w:r>
        <w:rPr>
          <w:rStyle w:val="Char"/>
          <w:rFonts w:ascii="BMWType V2 Light" w:hAnsi="BMWType V2 Light" w:cs="BMWType V2 Light"/>
          <w:bCs/>
          <w:color w:val="808080" w:themeColor="background1" w:themeShade="80"/>
        </w:rPr>
        <w:t>Ergebnis vor Finanzergebnis steigt auf 1.902 Mio. Euro</w:t>
      </w:r>
    </w:p>
    <w:p w:rsidR="001E49DB" w:rsidRDefault="001F398B" w:rsidP="001E49DB">
      <w:pPr>
        <w:spacing w:line="240" w:lineRule="auto"/>
        <w:outlineLvl w:val="0"/>
        <w:rPr>
          <w:rStyle w:val="Char"/>
          <w:rFonts w:ascii="BMWType V2 Light" w:hAnsi="BMWType V2 Light" w:cs="BMWType V2 Light"/>
          <w:bCs/>
          <w:color w:val="808080" w:themeColor="background1" w:themeShade="80"/>
        </w:rPr>
      </w:pPr>
      <w:r>
        <w:rPr>
          <w:rStyle w:val="Char"/>
          <w:rFonts w:ascii="BMWType V2 Light" w:hAnsi="BMWType V2 Light" w:cs="BMWType V2 Light"/>
          <w:bCs/>
          <w:color w:val="808080" w:themeColor="background1" w:themeShade="80"/>
        </w:rPr>
        <w:t>Ergebnis vor Steuern erhöht sich auf 1.812 Mio. Euro</w:t>
      </w:r>
    </w:p>
    <w:p w:rsidR="001F398B" w:rsidRDefault="001F398B" w:rsidP="001E49DB">
      <w:pPr>
        <w:spacing w:line="240" w:lineRule="auto"/>
        <w:outlineLvl w:val="0"/>
        <w:rPr>
          <w:rStyle w:val="Char"/>
          <w:rFonts w:ascii="BMWType V2 Light" w:hAnsi="BMWType V2 Light" w:cs="BMWType V2 Light"/>
          <w:bCs/>
          <w:color w:val="808080" w:themeColor="background1" w:themeShade="80"/>
        </w:rPr>
      </w:pPr>
      <w:r>
        <w:rPr>
          <w:rStyle w:val="Char"/>
          <w:rFonts w:ascii="BMWType V2 Light" w:hAnsi="BMWType V2 Light" w:cs="BMWType V2 Light"/>
          <w:bCs/>
          <w:color w:val="808080" w:themeColor="background1" w:themeShade="80"/>
        </w:rPr>
        <w:t>EBIT im Segment Automobile legt auf 1.708 Mio. Euro zu</w:t>
      </w:r>
    </w:p>
    <w:p w:rsidR="001F398B" w:rsidRPr="001E49DB" w:rsidRDefault="004F1360" w:rsidP="001E49DB">
      <w:pPr>
        <w:spacing w:line="240" w:lineRule="auto"/>
        <w:outlineLvl w:val="0"/>
        <w:rPr>
          <w:rStyle w:val="Char"/>
          <w:rFonts w:ascii="BMWType V2 Light" w:hAnsi="BMWType V2 Light" w:cs="BMWType V2 Light"/>
          <w:bCs/>
          <w:color w:val="808080" w:themeColor="background1" w:themeShade="80"/>
        </w:rPr>
      </w:pPr>
      <w:r>
        <w:rPr>
          <w:rStyle w:val="Char"/>
          <w:rFonts w:ascii="BMWType V2 Light" w:hAnsi="BMWType V2 Light" w:cs="BMWType V2 Light"/>
          <w:bCs/>
          <w:color w:val="808080" w:themeColor="background1" w:themeShade="80"/>
        </w:rPr>
        <w:t>EBIT-Marge</w:t>
      </w:r>
      <w:r w:rsidR="001F398B">
        <w:rPr>
          <w:rStyle w:val="Char"/>
          <w:rFonts w:ascii="BMWType V2 Light" w:hAnsi="BMWType V2 Light" w:cs="BMWType V2 Light"/>
          <w:bCs/>
          <w:color w:val="808080" w:themeColor="background1" w:themeShade="80"/>
        </w:rPr>
        <w:t xml:space="preserve"> Segment </w:t>
      </w:r>
      <w:r>
        <w:rPr>
          <w:rStyle w:val="Char"/>
          <w:rFonts w:ascii="BMWType V2 Light" w:hAnsi="BMWType V2 Light" w:cs="BMWType V2 Light"/>
          <w:bCs/>
          <w:color w:val="808080" w:themeColor="background1" w:themeShade="80"/>
        </w:rPr>
        <w:t xml:space="preserve">Automobile verbessert sich auf </w:t>
      </w:r>
      <w:r w:rsidR="001F398B">
        <w:rPr>
          <w:rStyle w:val="Char"/>
          <w:rFonts w:ascii="BMWType V2 Light" w:hAnsi="BMWType V2 Light" w:cs="BMWType V2 Light"/>
          <w:bCs/>
          <w:color w:val="808080" w:themeColor="background1" w:themeShade="80"/>
        </w:rPr>
        <w:t>11,9%</w:t>
      </w:r>
    </w:p>
    <w:p w:rsidR="001E49DB" w:rsidRPr="001E49DB" w:rsidRDefault="001F398B" w:rsidP="001E49DB">
      <w:pPr>
        <w:spacing w:line="240" w:lineRule="auto"/>
        <w:outlineLvl w:val="0"/>
        <w:rPr>
          <w:rStyle w:val="Char"/>
          <w:rFonts w:ascii="BMWType V2 Light" w:hAnsi="BMWType V2 Light" w:cs="BMWType V2 Light"/>
          <w:bCs/>
          <w:color w:val="808080" w:themeColor="background1" w:themeShade="80"/>
        </w:rPr>
      </w:pPr>
      <w:r>
        <w:rPr>
          <w:rStyle w:val="Char"/>
          <w:rFonts w:ascii="BMWType V2 Light" w:hAnsi="BMWType V2 Light" w:cs="BMWType V2 Light"/>
          <w:bCs/>
          <w:color w:val="808080" w:themeColor="background1" w:themeShade="80"/>
        </w:rPr>
        <w:t>BMW Group bekräftigt Ziele für laufendes Geschäftsjahr</w:t>
      </w:r>
    </w:p>
    <w:p w:rsidR="001E49DB" w:rsidRPr="00273628" w:rsidRDefault="001E49DB" w:rsidP="001F1E9D">
      <w:pPr>
        <w:pStyle w:val="Fliesstext"/>
        <w:tabs>
          <w:tab w:val="clear" w:pos="4706"/>
        </w:tabs>
      </w:pPr>
    </w:p>
    <w:p w:rsidR="002A31CE" w:rsidRDefault="00273628" w:rsidP="001E49DB">
      <w:pPr>
        <w:spacing w:line="360" w:lineRule="auto"/>
      </w:pPr>
      <w:r w:rsidRPr="00273628">
        <w:rPr>
          <w:b/>
        </w:rPr>
        <w:t>München</w:t>
      </w:r>
      <w:r w:rsidR="00EC39E8" w:rsidRPr="00273628">
        <w:rPr>
          <w:b/>
        </w:rPr>
        <w:t>.</w:t>
      </w:r>
      <w:r w:rsidR="00EC39E8" w:rsidRPr="00273628">
        <w:t xml:space="preserve"> </w:t>
      </w:r>
      <w:r w:rsidR="00354D37">
        <w:t xml:space="preserve">Die BMW Group </w:t>
      </w:r>
      <w:r w:rsidR="00B3486E">
        <w:t>hat mit einem neuen Rekordergebnis ihre erfolgreiche Geschäftsentwicklung im ersten Quartal fortgesetzt</w:t>
      </w:r>
      <w:r w:rsidR="00E643B5">
        <w:t>.</w:t>
      </w:r>
      <w:r w:rsidR="00354D37">
        <w:t xml:space="preserve"> </w:t>
      </w:r>
      <w:r w:rsidR="00EF70B1">
        <w:t xml:space="preserve">Der Umsatz stieg </w:t>
      </w:r>
      <w:r w:rsidR="00BD233F">
        <w:t xml:space="preserve">im Vergleich zum </w:t>
      </w:r>
      <w:r w:rsidR="007E4513">
        <w:t xml:space="preserve">entsprechenden </w:t>
      </w:r>
      <w:r w:rsidR="00BD233F">
        <w:t>Vorjahr</w:t>
      </w:r>
      <w:r w:rsidR="007E4513">
        <w:t>eszeitraum</w:t>
      </w:r>
      <w:r w:rsidR="00BD233F">
        <w:t xml:space="preserve"> </w:t>
      </w:r>
      <w:r w:rsidR="00EF70B1">
        <w:t>u</w:t>
      </w:r>
      <w:r w:rsidR="00885087">
        <w:t>m 28,9</w:t>
      </w:r>
      <w:r w:rsidR="007B6E8D">
        <w:t>% auf 16.037 (Vj. 12.443</w:t>
      </w:r>
      <w:r w:rsidR="004F1360">
        <w:t xml:space="preserve">) Mio. Euro. </w:t>
      </w:r>
      <w:r w:rsidR="007B6E8D">
        <w:t>Das Ergebnis vor Finan</w:t>
      </w:r>
      <w:r w:rsidR="00480AB9">
        <w:t xml:space="preserve">zergebnis (EBIT) erhöhte sich deutlich auf </w:t>
      </w:r>
      <w:r w:rsidR="007B6E8D">
        <w:t>1.90</w:t>
      </w:r>
      <w:r w:rsidR="00FB4C91">
        <w:t>2 (</w:t>
      </w:r>
      <w:r w:rsidR="005230FE">
        <w:t xml:space="preserve">Vj. </w:t>
      </w:r>
      <w:r w:rsidR="00FB4C91">
        <w:t>449) Mio. Euro, d</w:t>
      </w:r>
      <w:r w:rsidR="004F1360">
        <w:t>as Ergebnis vor Steu</w:t>
      </w:r>
      <w:r w:rsidR="007B6E8D">
        <w:t>ern (EBT) kletterte auf 1.812 (Vj. 508</w:t>
      </w:r>
      <w:r w:rsidR="004F1360">
        <w:t xml:space="preserve">) Mio. Euro. </w:t>
      </w:r>
      <w:r w:rsidR="00FB4C91">
        <w:t>Der Konzernüberschuss</w:t>
      </w:r>
      <w:r w:rsidR="007B6E8D">
        <w:t xml:space="preserve"> </w:t>
      </w:r>
      <w:r w:rsidR="004F1360">
        <w:t xml:space="preserve">verbesserte sich </w:t>
      </w:r>
      <w:r w:rsidR="007B6E8D">
        <w:t>auf 1.212 (Vj. 324</w:t>
      </w:r>
      <w:r w:rsidR="004F1360">
        <w:t>) Mio. Euro.</w:t>
      </w:r>
      <w:r w:rsidR="00232061">
        <w:t xml:space="preserve"> </w:t>
      </w:r>
      <w:r w:rsidR="00480AB9">
        <w:t xml:space="preserve">Der Absatz </w:t>
      </w:r>
      <w:r w:rsidR="00885087">
        <w:t xml:space="preserve">der Marken BMW, MINI und Rolls-Royce </w:t>
      </w:r>
      <w:r w:rsidR="00480AB9">
        <w:t xml:space="preserve">stieg um 21,3% auf </w:t>
      </w:r>
      <w:r w:rsidR="00480AB9" w:rsidRPr="00E30B63">
        <w:t>3</w:t>
      </w:r>
      <w:r w:rsidR="00857D89">
        <w:t>82.758 (Vj. 315.614</w:t>
      </w:r>
      <w:r w:rsidR="003408F3">
        <w:t>)</w:t>
      </w:r>
      <w:r w:rsidR="005230FE">
        <w:t xml:space="preserve"> Fahrzeuge</w:t>
      </w:r>
      <w:r w:rsidR="00480AB9">
        <w:t>, womit der beste Jahresauftakt in der Unternehmensgeschichte verzeichnet wurde</w:t>
      </w:r>
      <w:r w:rsidR="00354D37">
        <w:t>.</w:t>
      </w:r>
    </w:p>
    <w:p w:rsidR="002A31CE" w:rsidRDefault="002A31CE" w:rsidP="001E49DB">
      <w:pPr>
        <w:spacing w:line="360" w:lineRule="auto"/>
      </w:pPr>
    </w:p>
    <w:p w:rsidR="00981418" w:rsidRDefault="006F7CBB" w:rsidP="001E49DB">
      <w:pPr>
        <w:spacing w:line="360" w:lineRule="auto"/>
      </w:pPr>
      <w:r>
        <w:t>„</w:t>
      </w:r>
      <w:r w:rsidR="00354D37">
        <w:t>Di</w:t>
      </w:r>
      <w:r w:rsidR="00C62714">
        <w:t>e BMW G</w:t>
      </w:r>
      <w:r w:rsidR="00365ECA">
        <w:t>roup ist stark</w:t>
      </w:r>
      <w:r w:rsidR="0044492C">
        <w:t xml:space="preserve"> in das neue Geschäftsjahr</w:t>
      </w:r>
      <w:r w:rsidR="00B3486E">
        <w:t xml:space="preserve"> gestartet. Wir haben </w:t>
      </w:r>
      <w:r w:rsidR="00380BE7">
        <w:t>ein neues Rekordergebnis erzielt und mehr Fahrzeuge verkauft als jemals zuvor in einem ersten Quartal</w:t>
      </w:r>
      <w:r w:rsidR="00174640">
        <w:t xml:space="preserve">. Der </w:t>
      </w:r>
      <w:r w:rsidR="00380BE7">
        <w:t xml:space="preserve">deutliche Absatzzuwachs </w:t>
      </w:r>
      <w:r w:rsidR="00174640">
        <w:t xml:space="preserve">sowie </w:t>
      </w:r>
      <w:r w:rsidR="00846A76" w:rsidRPr="009F5558">
        <w:rPr>
          <w:rFonts w:ascii="BMWTypeLight" w:hAnsi="BMWTypeLight"/>
          <w:szCs w:val="22"/>
        </w:rPr>
        <w:t>di</w:t>
      </w:r>
      <w:r w:rsidR="00846A76">
        <w:rPr>
          <w:rFonts w:ascii="BMWTypeLight" w:hAnsi="BMWTypeLight"/>
          <w:szCs w:val="22"/>
        </w:rPr>
        <w:t xml:space="preserve">e konsequente Umsetzung der </w:t>
      </w:r>
      <w:r w:rsidR="00846A76" w:rsidRPr="009F5558">
        <w:rPr>
          <w:rFonts w:ascii="BMWTypeLight" w:hAnsi="BMWTypeLight"/>
          <w:szCs w:val="22"/>
        </w:rPr>
        <w:t xml:space="preserve">Strategie Number ONE </w:t>
      </w:r>
      <w:r w:rsidR="00174640">
        <w:rPr>
          <w:rFonts w:ascii="BMWTypeLight" w:hAnsi="BMWTypeLight"/>
          <w:szCs w:val="22"/>
        </w:rPr>
        <w:t>haben wesentlich zur erfolgreichen Geschäftsentwicklung beigetragen</w:t>
      </w:r>
      <w:r w:rsidR="00846A76">
        <w:t>“, sagte der Vorsitzende des Vorstands der BMW AG, Norbert Reithofer, am Mittwoch in München.</w:t>
      </w:r>
      <w:r w:rsidR="00846A76" w:rsidRPr="009F5558">
        <w:rPr>
          <w:rFonts w:ascii="BMWTypeLight" w:hAnsi="BMWTypeLight"/>
          <w:szCs w:val="22"/>
        </w:rPr>
        <w:t xml:space="preserve"> </w:t>
      </w:r>
    </w:p>
    <w:p w:rsidR="00380BE7" w:rsidRDefault="00380BE7" w:rsidP="001E49DB">
      <w:pPr>
        <w:spacing w:line="360" w:lineRule="auto"/>
      </w:pPr>
    </w:p>
    <w:p w:rsidR="007277BE" w:rsidRPr="007277BE" w:rsidRDefault="00885087" w:rsidP="001E49DB">
      <w:pPr>
        <w:spacing w:line="360" w:lineRule="auto"/>
        <w:rPr>
          <w:b/>
        </w:rPr>
      </w:pPr>
      <w:r>
        <w:rPr>
          <w:b/>
        </w:rPr>
        <w:t xml:space="preserve">Rekordabsatz </w:t>
      </w:r>
      <w:r w:rsidR="00B3486E">
        <w:rPr>
          <w:b/>
        </w:rPr>
        <w:t xml:space="preserve">von deutlich über 1,5 Mio. Fahrzeugen </w:t>
      </w:r>
      <w:r>
        <w:rPr>
          <w:b/>
        </w:rPr>
        <w:t>an</w:t>
      </w:r>
      <w:r w:rsidR="00B3486E">
        <w:rPr>
          <w:b/>
        </w:rPr>
        <w:t>gestrebt</w:t>
      </w:r>
    </w:p>
    <w:p w:rsidR="007277BE" w:rsidRDefault="007277BE" w:rsidP="001E49DB">
      <w:pPr>
        <w:spacing w:line="360" w:lineRule="auto"/>
      </w:pPr>
    </w:p>
    <w:p w:rsidR="00093F79" w:rsidRDefault="00CF1B61" w:rsidP="001E49DB">
      <w:pPr>
        <w:spacing w:line="360" w:lineRule="auto"/>
      </w:pPr>
      <w:r>
        <w:t xml:space="preserve">Die Ziele des Unternehmens </w:t>
      </w:r>
      <w:r w:rsidR="00EA49BA">
        <w:t>für das Gesamtjahr</w:t>
      </w:r>
      <w:r w:rsidR="007277BE">
        <w:t xml:space="preserve"> </w:t>
      </w:r>
      <w:r w:rsidR="00846A76">
        <w:t xml:space="preserve">bleiben unverändert: </w:t>
      </w:r>
      <w:r w:rsidR="00846A76">
        <w:rPr>
          <w:rFonts w:ascii="BMWTypeLight" w:hAnsi="BMWTypeLight"/>
          <w:szCs w:val="22"/>
        </w:rPr>
        <w:t>„</w:t>
      </w:r>
      <w:r w:rsidR="00846A76">
        <w:t>Wir sind</w:t>
      </w:r>
      <w:r w:rsidR="00956BCE">
        <w:t xml:space="preserve"> </w:t>
      </w:r>
      <w:r w:rsidR="00846A76">
        <w:t>auf einem guten Weg, im laufenden Geschäftsjahr neue Bestmarken bei Absatz und Konzernergebn</w:t>
      </w:r>
      <w:r w:rsidR="00956BCE">
        <w:t>is zu erreichen</w:t>
      </w:r>
      <w:r w:rsidR="00846A76">
        <w:t xml:space="preserve">.  </w:t>
      </w:r>
      <w:r w:rsidR="00956BCE">
        <w:t xml:space="preserve">Wir steuern einen </w:t>
      </w:r>
      <w:r w:rsidR="007277BE">
        <w:t>Rekordabsatz von deutlich über 1,5 Mio. Fahrzeugen sowie jeweils neue</w:t>
      </w:r>
      <w:r w:rsidR="00956BCE">
        <w:t xml:space="preserve"> Höchstwerte</w:t>
      </w:r>
      <w:r w:rsidR="007277BE">
        <w:t xml:space="preserve"> bei BMW, MINI und Rolls-Royce </w:t>
      </w:r>
      <w:r w:rsidR="00956BCE">
        <w:t>an“,</w:t>
      </w:r>
      <w:r w:rsidR="00956BCE" w:rsidRPr="00956BCE">
        <w:t xml:space="preserve"> </w:t>
      </w:r>
      <w:r w:rsidR="00956BCE">
        <w:t xml:space="preserve">erklärte Reithofer weiter. </w:t>
      </w:r>
      <w:r w:rsidR="007277BE">
        <w:t>I</w:t>
      </w:r>
      <w:r>
        <w:t xml:space="preserve">m </w:t>
      </w:r>
      <w:r w:rsidR="001E49DB">
        <w:t xml:space="preserve">Segment Automobile </w:t>
      </w:r>
      <w:r w:rsidR="00956BCE">
        <w:t xml:space="preserve">strebt das Unternehmen weiterhin </w:t>
      </w:r>
      <w:r w:rsidR="001E49DB">
        <w:t>eine EBIT-Marge von über 8%</w:t>
      </w:r>
      <w:r w:rsidR="007277BE">
        <w:t xml:space="preserve"> an</w:t>
      </w:r>
      <w:r w:rsidR="00956BCE">
        <w:t>.</w:t>
      </w:r>
      <w:r>
        <w:t xml:space="preserve"> </w:t>
      </w:r>
      <w:r w:rsidR="005A6CE7">
        <w:t>Die</w:t>
      </w:r>
      <w:r w:rsidR="00956BCE">
        <w:t>se</w:t>
      </w:r>
      <w:r w:rsidR="005A6CE7">
        <w:t xml:space="preserve"> Ziele gelten </w:t>
      </w:r>
      <w:r w:rsidR="00790898">
        <w:t>weiter</w:t>
      </w:r>
      <w:r w:rsidR="00BF3DD5">
        <w:t>hin</w:t>
      </w:r>
      <w:r w:rsidR="00790898">
        <w:t xml:space="preserve"> </w:t>
      </w:r>
      <w:r w:rsidR="005A6CE7">
        <w:t>unter der Voraussetzung eine</w:t>
      </w:r>
      <w:r w:rsidR="003D6286">
        <w:t xml:space="preserve">r stabilen Entwicklung der </w:t>
      </w:r>
      <w:r w:rsidR="007A0258">
        <w:lastRenderedPageBreak/>
        <w:t>wirtsc</w:t>
      </w:r>
      <w:r w:rsidR="00956BCE">
        <w:t xml:space="preserve">haftlichen </w:t>
      </w:r>
      <w:r w:rsidR="00FB3165">
        <w:t xml:space="preserve">und politischen </w:t>
      </w:r>
      <w:r w:rsidR="00956BCE">
        <w:t>Rahmenbedingungen sowie</w:t>
      </w:r>
      <w:r w:rsidR="007A0258">
        <w:t xml:space="preserve"> der </w:t>
      </w:r>
      <w:r w:rsidR="003D6286">
        <w:t>weltweiten K</w:t>
      </w:r>
      <w:r w:rsidR="005A6CE7">
        <w:t>onjunktur.</w:t>
      </w:r>
    </w:p>
    <w:p w:rsidR="007A0258" w:rsidRDefault="007A0258" w:rsidP="001E49DB">
      <w:pPr>
        <w:pStyle w:val="Fliesstext"/>
        <w:outlineLvl w:val="0"/>
        <w:rPr>
          <w:b/>
          <w:bCs/>
        </w:rPr>
      </w:pPr>
    </w:p>
    <w:p w:rsidR="00EA49BA" w:rsidRDefault="00224335" w:rsidP="001E49DB">
      <w:pPr>
        <w:pStyle w:val="Fliesstext"/>
        <w:outlineLvl w:val="0"/>
        <w:rPr>
          <w:b/>
          <w:bCs/>
        </w:rPr>
      </w:pPr>
      <w:r>
        <w:rPr>
          <w:b/>
          <w:bCs/>
        </w:rPr>
        <w:t xml:space="preserve">Segment Automobile mit </w:t>
      </w:r>
      <w:r w:rsidR="00EA49BA">
        <w:rPr>
          <w:b/>
          <w:bCs/>
        </w:rPr>
        <w:t xml:space="preserve">Ergebnissprung im </w:t>
      </w:r>
      <w:r>
        <w:rPr>
          <w:b/>
          <w:bCs/>
        </w:rPr>
        <w:t>Auftaktquartal</w:t>
      </w:r>
    </w:p>
    <w:p w:rsidR="00EA49BA" w:rsidRPr="001E49DB" w:rsidRDefault="00EA49BA" w:rsidP="001E49DB">
      <w:pPr>
        <w:pStyle w:val="Fliesstext"/>
        <w:outlineLvl w:val="0"/>
        <w:rPr>
          <w:b/>
          <w:bCs/>
        </w:rPr>
      </w:pPr>
    </w:p>
    <w:p w:rsidR="001E49DB" w:rsidRDefault="00956BCE" w:rsidP="001E49DB">
      <w:pPr>
        <w:spacing w:line="360" w:lineRule="auto"/>
      </w:pPr>
      <w:r>
        <w:t>D</w:t>
      </w:r>
      <w:r w:rsidR="006845C3">
        <w:t xml:space="preserve">er Absatz der Marken BMW, MINI und Rolls-Royce </w:t>
      </w:r>
      <w:r>
        <w:t xml:space="preserve">ist </w:t>
      </w:r>
      <w:r w:rsidR="006845C3">
        <w:t>in den ersten drei Monaten auf neue Höchstw</w:t>
      </w:r>
      <w:r w:rsidR="001B5495">
        <w:t xml:space="preserve">erte </w:t>
      </w:r>
      <w:r w:rsidR="002962BB">
        <w:t>gestiegen. Weitere Gründe für den deutlichen Ergebnisanstieg</w:t>
      </w:r>
      <w:r w:rsidR="001B5495">
        <w:t xml:space="preserve"> im Segment Automobile war</w:t>
      </w:r>
      <w:r w:rsidR="002962BB">
        <w:t>en</w:t>
      </w:r>
      <w:r w:rsidR="001B5495">
        <w:t xml:space="preserve"> ein </w:t>
      </w:r>
      <w:r w:rsidR="006845C3">
        <w:t>hochw</w:t>
      </w:r>
      <w:r w:rsidR="001B5495">
        <w:t>ertiger</w:t>
      </w:r>
      <w:r w:rsidR="00D67A17">
        <w:t xml:space="preserve"> Modell-Mix, </w:t>
      </w:r>
      <w:r w:rsidR="002962BB">
        <w:t xml:space="preserve">Effizienzverbesserungen sowie </w:t>
      </w:r>
      <w:r w:rsidR="006845C3">
        <w:t xml:space="preserve">eine </w:t>
      </w:r>
      <w:r w:rsidR="001E49DB">
        <w:t>verbesserte Preisdurchset</w:t>
      </w:r>
      <w:r w:rsidR="002962BB">
        <w:t>zung</w:t>
      </w:r>
      <w:r w:rsidR="006845C3">
        <w:t xml:space="preserve">. Der Umsatz legte </w:t>
      </w:r>
      <w:r w:rsidR="001B5495">
        <w:t xml:space="preserve">im ersten Quartal </w:t>
      </w:r>
      <w:r w:rsidR="006845C3">
        <w:t>um 34,7% auf 14.373 (Vj. 10.672</w:t>
      </w:r>
      <w:r w:rsidR="001E49DB">
        <w:t>) Mio. Euro zu.</w:t>
      </w:r>
      <w:r w:rsidR="001B5495">
        <w:t xml:space="preserve"> Das EBIT </w:t>
      </w:r>
      <w:r w:rsidR="001E49DB">
        <w:t xml:space="preserve">erhöhte sich </w:t>
      </w:r>
      <w:r w:rsidR="006845C3">
        <w:t>deutlich auf 1.708 (Vj. 291</w:t>
      </w:r>
      <w:r w:rsidR="001E49DB">
        <w:t>) Mio. Euro</w:t>
      </w:r>
      <w:r w:rsidR="00D67A17">
        <w:t>. Die EBIT-Marge im Segment Automobile beläu</w:t>
      </w:r>
      <w:r w:rsidR="001B5495">
        <w:t xml:space="preserve">ft sich </w:t>
      </w:r>
      <w:r w:rsidR="002962BB">
        <w:t xml:space="preserve">damit </w:t>
      </w:r>
      <w:r w:rsidR="00D67A17">
        <w:t>auf 11,9%. Das Segmente</w:t>
      </w:r>
      <w:r w:rsidR="006845C3">
        <w:t xml:space="preserve">rgebnis vor Steuern </w:t>
      </w:r>
      <w:r w:rsidR="00391659">
        <w:t xml:space="preserve">verbesserte sich </w:t>
      </w:r>
      <w:r w:rsidR="006845C3">
        <w:t>auf 1.605 (Vj. 220</w:t>
      </w:r>
      <w:r w:rsidR="001E49DB">
        <w:t xml:space="preserve">) Mio. Euro. </w:t>
      </w:r>
      <w:r w:rsidR="00FB3165">
        <w:t>Der</w:t>
      </w:r>
      <w:r w:rsidR="00391659">
        <w:t xml:space="preserve"> Free Cashflow </w:t>
      </w:r>
      <w:r w:rsidR="00212437">
        <w:t xml:space="preserve">im Segment Automobile </w:t>
      </w:r>
      <w:r w:rsidR="00391659">
        <w:t xml:space="preserve">stieg </w:t>
      </w:r>
      <w:r w:rsidR="006B6DA8">
        <w:t>auf 1.624 (Vj. -306</w:t>
      </w:r>
      <w:r w:rsidR="00FB3165">
        <w:t xml:space="preserve">) Mio. Euro. </w:t>
      </w:r>
    </w:p>
    <w:p w:rsidR="00974C4C" w:rsidRDefault="00974C4C" w:rsidP="001E49DB">
      <w:pPr>
        <w:spacing w:line="360" w:lineRule="auto"/>
      </w:pPr>
    </w:p>
    <w:p w:rsidR="00BD233F" w:rsidRDefault="00446F17" w:rsidP="001E49DB">
      <w:pPr>
        <w:spacing w:line="360" w:lineRule="auto"/>
      </w:pPr>
      <w:r>
        <w:t xml:space="preserve">Der Absatz der Marke BMW erhöhte sich </w:t>
      </w:r>
      <w:r w:rsidR="00F54125">
        <w:t>im ersten Quartal um 20,8% auf 321.175 (Vj. 265.809</w:t>
      </w:r>
      <w:r w:rsidR="001E49DB" w:rsidRPr="00D768A3">
        <w:t>) Fahrzeuge. Deutliche Zuwächs</w:t>
      </w:r>
      <w:r w:rsidR="00BD233F">
        <w:t>e konnte dabei unter anderem der</w:t>
      </w:r>
      <w:r w:rsidR="001E49DB" w:rsidRPr="00D768A3">
        <w:t xml:space="preserve"> neu</w:t>
      </w:r>
      <w:r w:rsidR="00BD233F">
        <w:t xml:space="preserve">e BMW 5er </w:t>
      </w:r>
      <w:r w:rsidR="00F54125">
        <w:t xml:space="preserve">verbuchen, </w:t>
      </w:r>
      <w:r w:rsidR="00BD233F">
        <w:t>der mit 85.423 (Vj. 39.162) Automobilen seinen Absatz mehr als verdopp</w:t>
      </w:r>
      <w:r w:rsidR="008C6CD5">
        <w:t>elte</w:t>
      </w:r>
      <w:r w:rsidR="00BD233F">
        <w:t xml:space="preserve"> und weltweit Mark</w:t>
      </w:r>
      <w:r w:rsidR="007A6C2C">
        <w:t>t</w:t>
      </w:r>
      <w:r w:rsidR="00BD233F">
        <w:t xml:space="preserve">führer in seiner Klasse ist. </w:t>
      </w:r>
      <w:r w:rsidR="00BD233F" w:rsidRPr="00D768A3">
        <w:t>Auch die</w:t>
      </w:r>
      <w:r w:rsidR="00BD233F">
        <w:t xml:space="preserve"> Nachfrage nach dem </w:t>
      </w:r>
      <w:r w:rsidR="00BD233F" w:rsidRPr="00D768A3">
        <w:t>BMW</w:t>
      </w:r>
      <w:r w:rsidR="00BD233F">
        <w:t xml:space="preserve"> 7er </w:t>
      </w:r>
      <w:r w:rsidR="00354DFD">
        <w:t>bewegt</w:t>
      </w:r>
      <w:r w:rsidR="00BD233F" w:rsidRPr="00D768A3">
        <w:t xml:space="preserve"> sich weiter auf hohem Niveau. </w:t>
      </w:r>
      <w:r w:rsidR="00BD233F">
        <w:t>Die Ausli</w:t>
      </w:r>
      <w:r w:rsidR="00947310">
        <w:t>eferungen des Flaggschiffs legte</w:t>
      </w:r>
      <w:r w:rsidR="00354DFD">
        <w:t>n</w:t>
      </w:r>
      <w:r w:rsidR="00BD233F">
        <w:t xml:space="preserve"> in den ersten drei Monaten um 4,0% auf 14.817 </w:t>
      </w:r>
      <w:r w:rsidR="006D137C">
        <w:t xml:space="preserve">(Vj. 14.245) </w:t>
      </w:r>
      <w:r w:rsidR="00BD233F">
        <w:t>Einheiten</w:t>
      </w:r>
      <w:r w:rsidR="00947310">
        <w:t xml:space="preserve"> zu</w:t>
      </w:r>
      <w:r w:rsidR="00BD233F">
        <w:t>.</w:t>
      </w:r>
    </w:p>
    <w:p w:rsidR="00BD233F" w:rsidRDefault="00BD233F" w:rsidP="001E49DB">
      <w:pPr>
        <w:spacing w:line="360" w:lineRule="auto"/>
      </w:pPr>
    </w:p>
    <w:p w:rsidR="001E49DB" w:rsidRDefault="00C70D11" w:rsidP="001E49DB">
      <w:pPr>
        <w:spacing w:line="360" w:lineRule="auto"/>
      </w:pPr>
      <w:r>
        <w:t>Sehr</w:t>
      </w:r>
      <w:r w:rsidR="00EA085E">
        <w:t xml:space="preserve"> erfolgreich entwickeln</w:t>
      </w:r>
      <w:r w:rsidR="00BD233F">
        <w:t xml:space="preserve"> sich auch we</w:t>
      </w:r>
      <w:r w:rsidR="00EA085E">
        <w:t>iterhin die BMW X-Fahrzeuge</w:t>
      </w:r>
      <w:r w:rsidR="00947310">
        <w:t>.  So konnte der BMW X1 im Auftaktquartal mit einem Plus von 38,</w:t>
      </w:r>
      <w:r w:rsidR="00D3699D">
        <w:t xml:space="preserve">6% auf 27.238 </w:t>
      </w:r>
      <w:r w:rsidR="007A6C2C">
        <w:br/>
      </w:r>
      <w:r w:rsidR="00D55546">
        <w:t xml:space="preserve">(Vj. 19.657) </w:t>
      </w:r>
      <w:r w:rsidR="00D3699D">
        <w:t xml:space="preserve">Fahrzeuge </w:t>
      </w:r>
      <w:r w:rsidR="00EA085E">
        <w:t xml:space="preserve">erneut </w:t>
      </w:r>
      <w:r w:rsidR="00D3699D">
        <w:t>deutliche</w:t>
      </w:r>
      <w:r w:rsidR="00947310">
        <w:t xml:space="preserve"> </w:t>
      </w:r>
      <w:r w:rsidR="00354DFD">
        <w:t>Zuwächse verbuchen. Auf</w:t>
      </w:r>
      <w:r w:rsidR="00947310">
        <w:t xml:space="preserve"> eine hervorragende Resonanz bei den Kunden stößt auch der neue BMW X3, der seit November 2010 auf dem Markt ist und mit 22.693 </w:t>
      </w:r>
      <w:r w:rsidR="00D55546">
        <w:t xml:space="preserve">(Vj. 11.693) </w:t>
      </w:r>
      <w:r w:rsidR="00947310">
        <w:t>Einheiten (+94,1%) die Auslieferungen nahezu verdoppeln konnte. Marktführer</w:t>
      </w:r>
      <w:r w:rsidR="00EA085E">
        <w:t xml:space="preserve"> in seinem Segment ist unverändert</w:t>
      </w:r>
      <w:r w:rsidR="00947310">
        <w:t xml:space="preserve"> der BMW X5, dessen Verkäufe um 1,1% auf 23.149 </w:t>
      </w:r>
      <w:r w:rsidR="00D55546">
        <w:t xml:space="preserve">(Vj. 22.897) </w:t>
      </w:r>
      <w:r w:rsidR="00947310">
        <w:t xml:space="preserve">Automobile zugelegt haben. </w:t>
      </w:r>
    </w:p>
    <w:p w:rsidR="00974C4C" w:rsidRPr="00D768A3" w:rsidRDefault="00974C4C" w:rsidP="001E49DB">
      <w:pPr>
        <w:spacing w:line="360" w:lineRule="auto"/>
      </w:pPr>
    </w:p>
    <w:p w:rsidR="00974C4C" w:rsidRDefault="001E49DB" w:rsidP="001E49DB">
      <w:pPr>
        <w:spacing w:line="360" w:lineRule="auto"/>
      </w:pPr>
      <w:r>
        <w:lastRenderedPageBreak/>
        <w:t xml:space="preserve">Auch die </w:t>
      </w:r>
      <w:r w:rsidRPr="00CB7DD1">
        <w:t xml:space="preserve">Marke MINI </w:t>
      </w:r>
      <w:r>
        <w:t>ist weiterhin auf Erfolgskurs</w:t>
      </w:r>
      <w:r w:rsidR="00C70D11">
        <w:t>.</w:t>
      </w:r>
      <w:r>
        <w:t xml:space="preserve"> </w:t>
      </w:r>
      <w:r w:rsidR="00C70D11">
        <w:t xml:space="preserve">Insgesamt wurden in den ersten drei Monaten 60.860 (Vj. 49.526) Einheiten ausgeliefert, was einem Plus von 22,9% entspricht. </w:t>
      </w:r>
      <w:r w:rsidR="00D3699D">
        <w:t xml:space="preserve">Bei den Kunden sehr beliebt ist unter anderem </w:t>
      </w:r>
      <w:r w:rsidR="00354DFD">
        <w:t xml:space="preserve">der </w:t>
      </w:r>
      <w:r w:rsidR="00C70D11">
        <w:t xml:space="preserve">MINI </w:t>
      </w:r>
      <w:r w:rsidR="00354DFD">
        <w:t>Countryman, der seit Herbst 2010 als viertes Modell die</w:t>
      </w:r>
      <w:r w:rsidR="00D3699D">
        <w:t xml:space="preserve"> MINI-Familie erweitert hat und 16.078</w:t>
      </w:r>
      <w:r w:rsidR="007A6C2C">
        <w:t xml:space="preserve"> </w:t>
      </w:r>
      <w:r w:rsidR="00D3699D">
        <w:t xml:space="preserve">mal an Kunden </w:t>
      </w:r>
      <w:r w:rsidR="00354DFD">
        <w:t>ausgeliefert</w:t>
      </w:r>
      <w:r w:rsidR="00D3699D">
        <w:t xml:space="preserve"> wurde</w:t>
      </w:r>
      <w:r w:rsidR="00354DFD">
        <w:t xml:space="preserve">. </w:t>
      </w:r>
      <w:r w:rsidR="00D3699D">
        <w:t>Seit Herbst wurden von diesem Modell bereits über 30.000 Fahrzeuge verka</w:t>
      </w:r>
      <w:r w:rsidR="00ED6BED">
        <w:t>uft. Der Absatz des</w:t>
      </w:r>
      <w:r w:rsidR="00D3699D">
        <w:t xml:space="preserve"> MINI Cabrio legte um </w:t>
      </w:r>
      <w:r w:rsidR="00ED6BED">
        <w:t xml:space="preserve">8,6% auf 6.464 </w:t>
      </w:r>
      <w:r w:rsidR="00616469">
        <w:t xml:space="preserve">(Vj. 5.954) </w:t>
      </w:r>
      <w:r w:rsidR="00ED6BED">
        <w:t xml:space="preserve">Einheiten zu. </w:t>
      </w:r>
      <w:r w:rsidR="00132432">
        <w:t>Im Herbst wird m</w:t>
      </w:r>
      <w:r w:rsidR="00564BE1">
        <w:t>it dem MINI Coup</w:t>
      </w:r>
      <w:r w:rsidR="00132432">
        <w:t xml:space="preserve">é </w:t>
      </w:r>
      <w:r w:rsidR="0085506D">
        <w:t xml:space="preserve">die fünfte Modellvariante an den Start gehen. </w:t>
      </w:r>
    </w:p>
    <w:p w:rsidR="00D3699D" w:rsidRPr="005E36FA" w:rsidRDefault="00D3699D" w:rsidP="001E49DB">
      <w:pPr>
        <w:spacing w:line="360" w:lineRule="auto"/>
      </w:pPr>
    </w:p>
    <w:p w:rsidR="00974C4C" w:rsidRDefault="001E49DB" w:rsidP="001E49DB">
      <w:pPr>
        <w:spacing w:line="360" w:lineRule="auto"/>
      </w:pPr>
      <w:r w:rsidRPr="005E36FA">
        <w:t>D</w:t>
      </w:r>
      <w:r w:rsidR="00ED6BED">
        <w:t>ie Marke Rolls-Royce konnte</w:t>
      </w:r>
      <w:r w:rsidR="00D3699D">
        <w:t xml:space="preserve"> ihren </w:t>
      </w:r>
      <w:r w:rsidRPr="005E36FA">
        <w:t xml:space="preserve">Absatz </w:t>
      </w:r>
      <w:r w:rsidR="00D3699D">
        <w:t>im er</w:t>
      </w:r>
      <w:r w:rsidR="00ED6BED">
        <w:t>sten Quartal mehr als verdoppeln</w:t>
      </w:r>
      <w:r w:rsidR="00D3699D">
        <w:t xml:space="preserve">. Weltweit wurden 723 (Vj. 279) </w:t>
      </w:r>
      <w:r w:rsidR="00ED6BED">
        <w:t xml:space="preserve">Automobile an Kunden ausgeliefert. </w:t>
      </w:r>
      <w:r w:rsidR="002865D0">
        <w:t xml:space="preserve">Weiterhin </w:t>
      </w:r>
      <w:r w:rsidR="009C4815">
        <w:t xml:space="preserve">sehr erfolgreich ist </w:t>
      </w:r>
      <w:r w:rsidR="008671B0">
        <w:t xml:space="preserve">unter anderem </w:t>
      </w:r>
      <w:r w:rsidR="002865D0">
        <w:t xml:space="preserve">der Ghost, der </w:t>
      </w:r>
      <w:r w:rsidR="00ED6BED">
        <w:t xml:space="preserve">seit seiner Markteinführung bereits an nahezu 3.000 Kunden verkauft wurde. </w:t>
      </w:r>
      <w:r w:rsidR="002865D0">
        <w:t xml:space="preserve">Im ersten Quartal stieg der Absatz </w:t>
      </w:r>
      <w:r w:rsidR="002963D5">
        <w:t xml:space="preserve">des Ghost </w:t>
      </w:r>
      <w:r w:rsidR="002865D0">
        <w:t>auf 566 (Vj. 158) Automobile. Deutliche Zuwächse konnte auch der Phantom verbuchen, der um 60,6% auf 106 (Vj. 66) Fahrzeuge zulegte.</w:t>
      </w:r>
    </w:p>
    <w:p w:rsidR="00ED6BED" w:rsidRPr="008B6ECA" w:rsidRDefault="00ED6BED" w:rsidP="001E49DB">
      <w:pPr>
        <w:spacing w:line="360" w:lineRule="auto"/>
      </w:pPr>
    </w:p>
    <w:p w:rsidR="007A0258" w:rsidRDefault="007A0258" w:rsidP="001E49DB">
      <w:pPr>
        <w:spacing w:line="360" w:lineRule="auto"/>
      </w:pPr>
      <w:r>
        <w:t>Die BMW Group ist in den ersten drei Monaten in nahezu allen Regionen der Welt gewachsen. In Europa wurden 200.088 Fahrzeuge der Marken BMW, MINI und Rolls-Royce abgesetzt, das entspricht einem Plus von 13,0%. Dabei stiegen in Deutschland die Auslieferungen um 9,0% auf 64.064 und in Gro</w:t>
      </w:r>
      <w:r w:rsidR="009B4C69">
        <w:t>ßbritannien um 21,7% auf 39.259 Automobile. Weitere Zuwächse konnten unter anderem auch in Italien (19.007 Fahrzeuge/+8,0%), Frankreich (16.422 Einheiten/+13,5%) und in Spanien (10.722 Automobile/+3,3%) verbucht werden.</w:t>
      </w:r>
    </w:p>
    <w:p w:rsidR="007A0258" w:rsidRDefault="007A0258" w:rsidP="001E49DB">
      <w:pPr>
        <w:spacing w:line="360" w:lineRule="auto"/>
      </w:pPr>
    </w:p>
    <w:p w:rsidR="00974C4C" w:rsidRPr="00BD52B2" w:rsidRDefault="00A16DB3" w:rsidP="001E49DB">
      <w:pPr>
        <w:spacing w:line="360" w:lineRule="auto"/>
      </w:pPr>
      <w:r>
        <w:t xml:space="preserve">Ebenfalls erfreulich war die Absatzentwicklung in Nordamerika, wo mit 71.257 Automobilen der Vorjahreswert um 17,3% übertroffen wurde. </w:t>
      </w:r>
      <w:r w:rsidR="009B4C69">
        <w:t xml:space="preserve">In </w:t>
      </w:r>
      <w:r w:rsidR="001E49DB">
        <w:t xml:space="preserve">den </w:t>
      </w:r>
      <w:r w:rsidR="001E49DB" w:rsidRPr="00BD52B2">
        <w:t>USA</w:t>
      </w:r>
      <w:r>
        <w:t xml:space="preserve"> stiegen die Auslieferungen um 18,2% auf 65.163 Fahrzeuge. Damit sind die Vereinigten Staaten wieder der größte Einzelmarkt des Unternehmens. </w:t>
      </w:r>
    </w:p>
    <w:p w:rsidR="00974C4C" w:rsidRDefault="001E49DB" w:rsidP="001E49DB">
      <w:pPr>
        <w:spacing w:line="360" w:lineRule="auto"/>
      </w:pPr>
      <w:r>
        <w:lastRenderedPageBreak/>
        <w:t xml:space="preserve">Deutliche </w:t>
      </w:r>
      <w:r w:rsidR="00A16DB3">
        <w:t>Zuwachsraten gab es auch in Asien. Insgesamt wurden dort 90.148 Einheiten ab</w:t>
      </w:r>
      <w:r w:rsidR="008671B0">
        <w:t>gesetzt, das ist ein Plus von 53,0</w:t>
      </w:r>
      <w:r w:rsidR="00A16DB3">
        <w:t xml:space="preserve">%. Auf China entfallen dabei 58.706 Fahrzeuge (+71,6%). </w:t>
      </w:r>
    </w:p>
    <w:p w:rsidR="00C277C9" w:rsidRDefault="00C277C9" w:rsidP="001E49DB">
      <w:pPr>
        <w:pStyle w:val="Fliesstext"/>
        <w:outlineLvl w:val="0"/>
      </w:pPr>
    </w:p>
    <w:p w:rsidR="001E49DB" w:rsidRDefault="001E49DB" w:rsidP="00391659">
      <w:pPr>
        <w:tabs>
          <w:tab w:val="clear" w:pos="454"/>
          <w:tab w:val="clear" w:pos="4706"/>
        </w:tabs>
        <w:spacing w:line="240" w:lineRule="auto"/>
        <w:rPr>
          <w:b/>
          <w:bCs/>
        </w:rPr>
      </w:pPr>
      <w:r>
        <w:rPr>
          <w:b/>
          <w:bCs/>
        </w:rPr>
        <w:t>Motorrad</w:t>
      </w:r>
      <w:r w:rsidR="00C277C9">
        <w:rPr>
          <w:b/>
          <w:bCs/>
        </w:rPr>
        <w:t>segment mit kräftigem Absatzzuwachs</w:t>
      </w:r>
    </w:p>
    <w:p w:rsidR="001E49DB" w:rsidRPr="00487478" w:rsidRDefault="001E49DB" w:rsidP="001E49DB">
      <w:pPr>
        <w:pStyle w:val="Fliesstext"/>
        <w:outlineLvl w:val="0"/>
        <w:rPr>
          <w:b/>
          <w:bCs/>
        </w:rPr>
      </w:pPr>
    </w:p>
    <w:p w:rsidR="00974C4C" w:rsidRDefault="00C277C9" w:rsidP="001E49DB">
      <w:pPr>
        <w:spacing w:line="360" w:lineRule="auto"/>
      </w:pPr>
      <w:r>
        <w:t>Im Segment Motorräder stieg der Umsatz im ersten Quartal um 13,1% auf 397 (</w:t>
      </w:r>
      <w:r w:rsidR="008671B0">
        <w:t xml:space="preserve">Vj. </w:t>
      </w:r>
      <w:r>
        <w:t>351) Mio.</w:t>
      </w:r>
      <w:r w:rsidR="009705B2">
        <w:t xml:space="preserve"> Euro. Das EBIT belief sich auf 31 (</w:t>
      </w:r>
      <w:r w:rsidR="008671B0">
        <w:t xml:space="preserve">Vj. </w:t>
      </w:r>
      <w:r w:rsidR="009705B2">
        <w:t xml:space="preserve">32) Mio. Euro, das Ergebnis vor Steuern blieb mit </w:t>
      </w:r>
      <w:r>
        <w:t xml:space="preserve">30 </w:t>
      </w:r>
      <w:r w:rsidR="009705B2">
        <w:t>Mio. Euro im Vergleich zum Vorjahr unverändert</w:t>
      </w:r>
      <w:r>
        <w:t xml:space="preserve">. </w:t>
      </w:r>
      <w:r w:rsidR="00645091">
        <w:t xml:space="preserve">In dem Segmentergebnis ist erstmals auch das Ergebnis von Husqvarna enthalten. </w:t>
      </w:r>
      <w:r>
        <w:t xml:space="preserve">Der Absatz der Marken BMW und Husqvarna stieg um 11,4% auf 25.049 </w:t>
      </w:r>
      <w:r w:rsidR="00DF0E2B">
        <w:br/>
      </w:r>
      <w:r>
        <w:t>(Vj. 22</w:t>
      </w:r>
      <w:r w:rsidR="008671B0">
        <w:t>.</w:t>
      </w:r>
      <w:r>
        <w:t xml:space="preserve">479) Einheiten. </w:t>
      </w:r>
      <w:r w:rsidR="00645091">
        <w:t xml:space="preserve">Dabei wurden von der Marke BMW 23.109 </w:t>
      </w:r>
      <w:r w:rsidR="008671B0">
        <w:t xml:space="preserve">(Vj. 20.840) </w:t>
      </w:r>
      <w:r w:rsidR="00645091">
        <w:t xml:space="preserve">Motorräder (+10,9%) und von der Marke Husqvarna 1.940 </w:t>
      </w:r>
      <w:r w:rsidR="008671B0">
        <w:t>(Vj. 1.639/</w:t>
      </w:r>
      <w:r w:rsidR="00645091">
        <w:t xml:space="preserve">+18,4%) Einheiten verkauft. </w:t>
      </w:r>
    </w:p>
    <w:p w:rsidR="00C277C9" w:rsidRPr="009757BA" w:rsidRDefault="00C277C9" w:rsidP="001E49DB">
      <w:pPr>
        <w:spacing w:line="360" w:lineRule="auto"/>
      </w:pPr>
    </w:p>
    <w:p w:rsidR="001E49DB" w:rsidRDefault="001E49DB" w:rsidP="001E49DB">
      <w:pPr>
        <w:spacing w:line="360" w:lineRule="auto"/>
        <w:outlineLvl w:val="0"/>
        <w:rPr>
          <w:b/>
        </w:rPr>
      </w:pPr>
      <w:r>
        <w:rPr>
          <w:b/>
        </w:rPr>
        <w:t xml:space="preserve">Finanzdienstleistungsgeschäft mit deutlichem Ergebniszuwachs </w:t>
      </w:r>
    </w:p>
    <w:p w:rsidR="00974C4C" w:rsidRPr="00274CCF" w:rsidRDefault="00974C4C" w:rsidP="001E49DB">
      <w:pPr>
        <w:spacing w:line="360" w:lineRule="auto"/>
        <w:outlineLvl w:val="0"/>
        <w:rPr>
          <w:b/>
        </w:rPr>
      </w:pPr>
    </w:p>
    <w:p w:rsidR="00974C4C" w:rsidRDefault="00AE0CD4" w:rsidP="001E49DB">
      <w:pPr>
        <w:spacing w:line="360" w:lineRule="auto"/>
      </w:pPr>
      <w:r>
        <w:t xml:space="preserve">Auch das </w:t>
      </w:r>
      <w:r w:rsidR="001E49DB">
        <w:t>Segment Finanzdie</w:t>
      </w:r>
      <w:r>
        <w:t>nstleistungen ist mit hoher Dynamik in das neue Geschäftsjahr gestartet. Der Umsatz legte um 4,5% auf 4.183 (Vj. 4.004</w:t>
      </w:r>
      <w:r w:rsidR="001E49DB">
        <w:t>) Mio. Euro zu. Das Ergebnis</w:t>
      </w:r>
      <w:r>
        <w:t xml:space="preserve"> vor Steuern stieg </w:t>
      </w:r>
      <w:r w:rsidR="00391659">
        <w:t>unter anderem aufgrund der weiterhin attrakt</w:t>
      </w:r>
      <w:r w:rsidR="00212437">
        <w:t>iven Refinanzierungsbedingungen a</w:t>
      </w:r>
      <w:r>
        <w:t>uf 429 (Vj. 222</w:t>
      </w:r>
      <w:r w:rsidR="001E49DB">
        <w:t xml:space="preserve">) Mio. Euro. </w:t>
      </w:r>
      <w:r w:rsidR="00A95122">
        <w:t xml:space="preserve">Die Anzahl der betreuten Leasing- und Finanzierungsverträge erhöhte sich zum 31. März um 4,1% auf insgesamt 3.233.567. </w:t>
      </w:r>
      <w:r w:rsidR="00746D0C">
        <w:t xml:space="preserve">Die Zahl der Neuverträge im </w:t>
      </w:r>
      <w:r w:rsidR="001E49DB">
        <w:t>Finanzierungs-</w:t>
      </w:r>
      <w:r>
        <w:t xml:space="preserve"> und Leasinggeschäft stieg um 13,8% auf 276.856</w:t>
      </w:r>
      <w:r w:rsidR="001E49DB">
        <w:t>. Das Leasinggeschäft wuchs</w:t>
      </w:r>
      <w:r w:rsidR="00A95122">
        <w:t xml:space="preserve"> im Vergleich zum Vorjahr um 19,3</w:t>
      </w:r>
      <w:r w:rsidR="001E49DB">
        <w:t>%, wäh</w:t>
      </w:r>
      <w:r w:rsidR="00A95122">
        <w:t>rend die Kreditfinanzierung um 11,5</w:t>
      </w:r>
      <w:r w:rsidR="001E49DB">
        <w:t>% zulegte. Der Leasinganteil am gesamt</w:t>
      </w:r>
      <w:r w:rsidR="00A95122">
        <w:t>en Neugeschäftsvolumen betrug 30,3</w:t>
      </w:r>
      <w:r w:rsidR="001E49DB">
        <w:t>%, der des F</w:t>
      </w:r>
      <w:r w:rsidR="00A95122">
        <w:t>inanzierungsgeschäfts lag bei 69,7</w:t>
      </w:r>
      <w:r w:rsidR="001E49DB">
        <w:t xml:space="preserve">%. </w:t>
      </w:r>
      <w:r w:rsidR="00391659">
        <w:t>Die Kreditausfallrate verringerte sich auf 0,55 (</w:t>
      </w:r>
      <w:r w:rsidR="00212437">
        <w:t xml:space="preserve">Vj. </w:t>
      </w:r>
      <w:r w:rsidR="00391659">
        <w:t>0,65)%.</w:t>
      </w:r>
    </w:p>
    <w:p w:rsidR="00A95122" w:rsidRDefault="00A95122" w:rsidP="001E49DB">
      <w:pPr>
        <w:spacing w:line="360" w:lineRule="auto"/>
      </w:pPr>
    </w:p>
    <w:p w:rsidR="001A3ED9" w:rsidRDefault="001A3ED9">
      <w:pPr>
        <w:tabs>
          <w:tab w:val="clear" w:pos="454"/>
          <w:tab w:val="clear" w:pos="4706"/>
        </w:tabs>
        <w:spacing w:line="240" w:lineRule="auto"/>
        <w:rPr>
          <w:b/>
          <w:bCs/>
        </w:rPr>
      </w:pPr>
      <w:r>
        <w:rPr>
          <w:b/>
          <w:bCs/>
        </w:rPr>
        <w:br w:type="page"/>
      </w:r>
    </w:p>
    <w:p w:rsidR="001E49DB" w:rsidRDefault="001E49DB" w:rsidP="001E49DB">
      <w:pPr>
        <w:pStyle w:val="Fliesstext"/>
        <w:rPr>
          <w:b/>
          <w:bCs/>
        </w:rPr>
      </w:pPr>
      <w:r>
        <w:rPr>
          <w:b/>
          <w:bCs/>
        </w:rPr>
        <w:lastRenderedPageBreak/>
        <w:t>B</w:t>
      </w:r>
      <w:r w:rsidR="00645091">
        <w:rPr>
          <w:b/>
          <w:bCs/>
        </w:rPr>
        <w:t>MW Group beschäftigt weltweit rund 96.0</w:t>
      </w:r>
      <w:r>
        <w:rPr>
          <w:b/>
          <w:bCs/>
        </w:rPr>
        <w:t>00 Mitarbeiter</w:t>
      </w:r>
    </w:p>
    <w:p w:rsidR="001E49DB" w:rsidRDefault="001E49DB" w:rsidP="001E49DB">
      <w:pPr>
        <w:pStyle w:val="Fliesstext"/>
      </w:pPr>
    </w:p>
    <w:p w:rsidR="00746D0C" w:rsidRDefault="001E49DB" w:rsidP="001E49DB">
      <w:pPr>
        <w:spacing w:line="360" w:lineRule="auto"/>
        <w:rPr>
          <w:b/>
        </w:rPr>
      </w:pPr>
      <w:r>
        <w:t>Weltw</w:t>
      </w:r>
      <w:r w:rsidR="00645091">
        <w:t>eit stieg die Zahl der Beschäftigten zum 31. März um 0,3% auf insgesamt 96.045 Mitarbeiter (Vj. 95.787)</w:t>
      </w:r>
      <w:r>
        <w:t xml:space="preserve">. </w:t>
      </w:r>
      <w:r w:rsidR="00AE0CD4">
        <w:t xml:space="preserve">Im Vergleich zum Jahresende 2010 ergab sich ein leichtes Plus von 0,6%. </w:t>
      </w:r>
    </w:p>
    <w:p w:rsidR="001E49DB" w:rsidRDefault="001E49DB" w:rsidP="001E49DB">
      <w:pPr>
        <w:spacing w:line="360" w:lineRule="auto"/>
      </w:pPr>
      <w:r>
        <w:rPr>
          <w:b/>
        </w:rPr>
        <w:t xml:space="preserve">                                                                       </w:t>
      </w:r>
      <w:r>
        <w:t>* * *</w:t>
      </w:r>
    </w:p>
    <w:p w:rsidR="001E49DB" w:rsidRDefault="001E49DB" w:rsidP="001E49DB">
      <w:pPr>
        <w:pStyle w:val="Fliesstext"/>
        <w:jc w:val="center"/>
      </w:pPr>
    </w:p>
    <w:p w:rsidR="001E49DB" w:rsidRPr="008007B7" w:rsidRDefault="001E49DB" w:rsidP="001E49DB">
      <w:pPr>
        <w:spacing w:line="360" w:lineRule="auto"/>
        <w:rPr>
          <w:b/>
        </w:rPr>
      </w:pPr>
      <w:r>
        <w:rPr>
          <w:b/>
          <w:bCs/>
        </w:rPr>
        <w:br w:type="page"/>
      </w:r>
      <w:r w:rsidRPr="008007B7">
        <w:rPr>
          <w:b/>
        </w:rPr>
        <w:lastRenderedPageBreak/>
        <w:t>Die BMW Group im Überblick</w:t>
      </w:r>
    </w:p>
    <w:tbl>
      <w:tblPr>
        <w:tblW w:w="88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81"/>
        <w:gridCol w:w="1560"/>
        <w:gridCol w:w="1559"/>
        <w:gridCol w:w="1732"/>
      </w:tblGrid>
      <w:tr w:rsidR="001E49DB" w:rsidRPr="008007B7" w:rsidTr="003F143C">
        <w:trPr>
          <w:trHeight w:val="264"/>
        </w:trPr>
        <w:tc>
          <w:tcPr>
            <w:tcW w:w="3981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1E49DB" w:rsidP="003F143C">
            <w:pPr>
              <w:pStyle w:val="berschrift5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B127CB" w:rsidP="00FD489E">
            <w:pPr>
              <w:pStyle w:val="Fliesstext"/>
              <w:rPr>
                <w:rFonts w:eastAsia="Arial Unicode MS" w:cs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sz w:val="20"/>
                <w:szCs w:val="20"/>
              </w:rPr>
              <w:t xml:space="preserve">    </w:t>
            </w:r>
            <w:r w:rsidR="00FD489E">
              <w:rPr>
                <w:rFonts w:eastAsia="Arial Unicode MS" w:cs="Arial Unicode MS"/>
                <w:b/>
                <w:bCs/>
                <w:sz w:val="20"/>
                <w:szCs w:val="20"/>
              </w:rPr>
              <w:t xml:space="preserve"> 1.</w:t>
            </w:r>
            <w:r>
              <w:rPr>
                <w:rFonts w:eastAsia="Arial Unicode MS" w:cs="Arial Unicode MS"/>
                <w:b/>
                <w:bCs/>
                <w:sz w:val="20"/>
                <w:szCs w:val="20"/>
              </w:rPr>
              <w:t xml:space="preserve"> </w:t>
            </w:r>
            <w:r w:rsidR="00FD489E">
              <w:rPr>
                <w:rFonts w:eastAsia="Arial Unicode MS" w:cs="Arial Unicode MS"/>
                <w:b/>
                <w:bCs/>
                <w:sz w:val="20"/>
                <w:szCs w:val="20"/>
              </w:rPr>
              <w:t xml:space="preserve">Quartal </w:t>
            </w:r>
            <w:r w:rsidR="001E49DB">
              <w:rPr>
                <w:rFonts w:eastAsia="Arial Unicode MS" w:cs="Arial Unicode MS"/>
                <w:b/>
                <w:bCs/>
                <w:sz w:val="20"/>
                <w:szCs w:val="20"/>
              </w:rPr>
              <w:t>1</w:t>
            </w:r>
            <w:r w:rsidR="00FD489E">
              <w:rPr>
                <w:rFonts w:eastAsia="Arial Unicode MS" w:cs="Arial Unicode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FD489E" w:rsidP="003F143C">
            <w:pPr>
              <w:pStyle w:val="Fliesstext"/>
              <w:jc w:val="right"/>
              <w:rPr>
                <w:rFonts w:eastAsia="Arial Unicode MS" w:cs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sz w:val="20"/>
                <w:szCs w:val="20"/>
              </w:rPr>
              <w:t>1. Quartal 10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1E49DB" w:rsidP="003F143C">
            <w:pPr>
              <w:spacing w:line="240" w:lineRule="auto"/>
              <w:jc w:val="right"/>
              <w:rPr>
                <w:rFonts w:eastAsia="Arial Unicode MS" w:cs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sz w:val="20"/>
                <w:szCs w:val="20"/>
              </w:rPr>
              <w:t>Veränderung</w:t>
            </w:r>
          </w:p>
          <w:p w:rsidR="001E49DB" w:rsidRDefault="001E49DB" w:rsidP="003F143C">
            <w:pPr>
              <w:spacing w:line="240" w:lineRule="auto"/>
              <w:jc w:val="right"/>
              <w:rPr>
                <w:rFonts w:eastAsia="Arial Unicode MS" w:cs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sz w:val="20"/>
                <w:szCs w:val="20"/>
              </w:rPr>
              <w:t xml:space="preserve"> in %</w:t>
            </w:r>
          </w:p>
        </w:tc>
      </w:tr>
      <w:tr w:rsidR="001E49DB" w:rsidRPr="008007B7" w:rsidTr="003F143C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1E49DB" w:rsidP="003F143C">
            <w:pPr>
              <w:pStyle w:val="berschrift6"/>
              <w:tabs>
                <w:tab w:val="right" w:pos="3828"/>
              </w:tabs>
              <w:ind w:left="57"/>
              <w:rPr>
                <w:rFonts w:ascii="BMWTypeLight" w:hAnsi="BMWTypeLight"/>
              </w:rPr>
            </w:pPr>
            <w:r>
              <w:rPr>
                <w:rFonts w:ascii="BMWTypeLight" w:hAnsi="BMWTypeLight"/>
              </w:rPr>
              <w:t>Fahrzeug-Auslieferungen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1E49DB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1E49DB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1E49DB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1E49DB" w:rsidRPr="008007B7" w:rsidTr="003F143C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1E49DB" w:rsidP="003F143C">
            <w:pPr>
              <w:pStyle w:val="berschrift6"/>
              <w:tabs>
                <w:tab w:val="right" w:pos="3828"/>
              </w:tabs>
              <w:ind w:left="57"/>
              <w:rPr>
                <w:rFonts w:ascii="BMWTypeLight" w:hAnsi="BMWTypeLight"/>
                <w:b w:val="0"/>
                <w:bCs w:val="0"/>
              </w:rPr>
            </w:pPr>
            <w:r>
              <w:rPr>
                <w:rFonts w:ascii="BMWTypeLight" w:hAnsi="BMWTypeLight"/>
                <w:b w:val="0"/>
                <w:bCs w:val="0"/>
              </w:rPr>
              <w:t>Automobile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FD489E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382.758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FD489E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315.614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FD489E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1E49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</w:tr>
      <w:tr w:rsidR="001E49DB" w:rsidTr="003F143C"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1E49DB" w:rsidP="003F143C">
            <w:pPr>
              <w:tabs>
                <w:tab w:val="right" w:pos="3828"/>
              </w:tabs>
              <w:spacing w:line="240" w:lineRule="auto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Davon:</w:t>
            </w:r>
          </w:p>
          <w:p w:rsidR="001E49DB" w:rsidRDefault="001E49DB" w:rsidP="003F143C">
            <w:pPr>
              <w:tabs>
                <w:tab w:val="right" w:pos="3828"/>
              </w:tabs>
              <w:spacing w:line="240" w:lineRule="auto"/>
              <w:ind w:left="57"/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BMW</w:t>
            </w:r>
            <w:r>
              <w:tab/>
            </w:r>
            <w:r>
              <w:rPr>
                <w:rFonts w:eastAsia="Arial Unicode MS" w:cs="Arial Unicode MS"/>
                <w:sz w:val="16"/>
                <w:szCs w:val="20"/>
              </w:rPr>
              <w:t>Einheiten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FD489E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321.175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FD489E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265.809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FD489E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1E49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</w:tr>
      <w:tr w:rsidR="001E49DB" w:rsidTr="003F143C"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1E49DB" w:rsidP="003F143C">
            <w:pPr>
              <w:tabs>
                <w:tab w:val="right" w:pos="3828"/>
              </w:tabs>
              <w:spacing w:line="240" w:lineRule="auto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MINI</w:t>
            </w:r>
            <w:r>
              <w:t xml:space="preserve"> </w:t>
            </w:r>
            <w:r>
              <w:tab/>
            </w:r>
            <w:r>
              <w:rPr>
                <w:rFonts w:eastAsia="Arial Unicode MS" w:cs="Arial Unicode MS"/>
                <w:sz w:val="16"/>
                <w:szCs w:val="20"/>
              </w:rPr>
              <w:t>Einheiten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FD489E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60.860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FD489E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49.526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FD489E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1E49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</w:tr>
      <w:tr w:rsidR="001E49DB" w:rsidTr="003F143C"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1E49DB" w:rsidP="003F143C">
            <w:pPr>
              <w:tabs>
                <w:tab w:val="right" w:pos="3828"/>
              </w:tabs>
              <w:spacing w:line="240" w:lineRule="auto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Rolls-Royce</w:t>
            </w:r>
            <w:r>
              <w:t xml:space="preserve"> </w:t>
            </w:r>
            <w:r>
              <w:tab/>
            </w:r>
            <w:r>
              <w:rPr>
                <w:rFonts w:eastAsia="Arial Unicode MS" w:cs="Arial Unicode MS"/>
                <w:sz w:val="16"/>
                <w:szCs w:val="20"/>
              </w:rPr>
              <w:t>Einheiten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1E49DB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D489E">
              <w:rPr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FD489E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1E49DB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9DB" w:rsidTr="003F143C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1E49DB" w:rsidP="003F143C">
            <w:pPr>
              <w:tabs>
                <w:tab w:val="right" w:pos="3828"/>
              </w:tabs>
              <w:spacing w:line="240" w:lineRule="auto"/>
              <w:ind w:left="57"/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Motorräder</w:t>
            </w:r>
            <w:r>
              <w:rPr>
                <w:sz w:val="20"/>
                <w:szCs w:val="20"/>
                <w:vertAlign w:val="superscript"/>
              </w:rPr>
              <w:tab/>
            </w:r>
            <w:r>
              <w:rPr>
                <w:rFonts w:eastAsia="Arial Unicode MS" w:cs="Arial Unicode MS"/>
                <w:sz w:val="16"/>
                <w:szCs w:val="20"/>
              </w:rPr>
              <w:t>Einheiten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FD489E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FD489E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22.479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FD489E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</w:p>
        </w:tc>
      </w:tr>
      <w:tr w:rsidR="001E49DB" w:rsidTr="003F143C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1E49DB" w:rsidP="003F143C">
            <w:pPr>
              <w:tabs>
                <w:tab w:val="right" w:pos="3828"/>
              </w:tabs>
              <w:spacing w:line="240" w:lineRule="auto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Davon:</w:t>
            </w:r>
          </w:p>
          <w:p w:rsidR="001E49DB" w:rsidRDefault="001E49DB" w:rsidP="003F143C">
            <w:pPr>
              <w:tabs>
                <w:tab w:val="right" w:pos="3828"/>
              </w:tabs>
              <w:spacing w:line="240" w:lineRule="auto"/>
              <w:ind w:left="57"/>
              <w:rPr>
                <w:rFonts w:eastAsia="Arial Unicode MS" w:cs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BMW                                                  </w:t>
            </w:r>
            <w:r w:rsidRPr="00B013B2">
              <w:rPr>
                <w:rFonts w:eastAsia="Arial Unicode MS" w:cs="Arial Unicode MS"/>
                <w:sz w:val="16"/>
                <w:szCs w:val="20"/>
              </w:rPr>
              <w:t>Einheiten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FD489E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FD489E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20.840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1E49DB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D489E">
              <w:rPr>
                <w:sz w:val="20"/>
                <w:szCs w:val="20"/>
              </w:rPr>
              <w:t>0,9</w:t>
            </w:r>
          </w:p>
        </w:tc>
      </w:tr>
      <w:tr w:rsidR="001E49DB" w:rsidTr="003F143C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1E49DB" w:rsidP="003F143C">
            <w:pPr>
              <w:tabs>
                <w:tab w:val="right" w:pos="3828"/>
              </w:tabs>
              <w:spacing w:line="240" w:lineRule="auto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Husqvarna                                         </w:t>
            </w:r>
            <w:r w:rsidRPr="000C4D09">
              <w:rPr>
                <w:rFonts w:eastAsia="Arial Unicode MS" w:cs="Arial Unicode MS"/>
                <w:sz w:val="16"/>
                <w:szCs w:val="20"/>
              </w:rPr>
              <w:t>Einheite</w:t>
            </w:r>
            <w:r>
              <w:rPr>
                <w:sz w:val="20"/>
                <w:szCs w:val="20"/>
              </w:rPr>
              <w:t>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1E49DB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D489E">
              <w:rPr>
                <w:sz w:val="20"/>
                <w:szCs w:val="20"/>
              </w:rPr>
              <w:t>.940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1E49DB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D489E">
              <w:rPr>
                <w:sz w:val="20"/>
                <w:szCs w:val="20"/>
              </w:rPr>
              <w:t>.639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8A2BDF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</w:tr>
      <w:tr w:rsidR="001E49DB" w:rsidTr="003F143C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1E49DB" w:rsidP="003F143C">
            <w:pPr>
              <w:pStyle w:val="berschrift6"/>
              <w:tabs>
                <w:tab w:val="right" w:pos="3828"/>
              </w:tabs>
              <w:ind w:left="57"/>
              <w:rPr>
                <w:rFonts w:ascii="BMWTypeLight" w:hAnsi="BMWTypeLigh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1E49DB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1E49DB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1E49DB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1E49DB" w:rsidTr="003F143C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8A2BDF" w:rsidP="003F143C">
            <w:pPr>
              <w:tabs>
                <w:tab w:val="right" w:pos="3828"/>
              </w:tabs>
              <w:spacing w:line="240" w:lineRule="auto"/>
              <w:ind w:left="57"/>
              <w:rPr>
                <w:rFonts w:eastAsia="Arial Unicode MS" w:cs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Mitarbeiter am Quartal</w:t>
            </w:r>
            <w:r w:rsidR="001E49DB">
              <w:rPr>
                <w:b/>
                <w:bCs/>
                <w:sz w:val="20"/>
                <w:szCs w:val="20"/>
              </w:rPr>
              <w:t>sende</w:t>
            </w:r>
            <w:r w:rsidR="001E49DB">
              <w:rPr>
                <w:szCs w:val="20"/>
                <w:vertAlign w:val="superscri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8A2BDF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96.045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8A2BDF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95.787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8A2BDF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</w:tr>
      <w:tr w:rsidR="001E49DB" w:rsidTr="003F143C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1E49DB" w:rsidP="003F143C">
            <w:pPr>
              <w:tabs>
                <w:tab w:val="right" w:pos="3828"/>
              </w:tabs>
              <w:spacing w:line="240" w:lineRule="auto"/>
              <w:ind w:left="57"/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1E49DB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1E49DB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1E49DB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5A58C8" w:rsidTr="003F143C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5A58C8" w:rsidRDefault="005A58C8" w:rsidP="003F143C">
            <w:pPr>
              <w:tabs>
                <w:tab w:val="right" w:pos="3828"/>
              </w:tabs>
              <w:spacing w:line="240" w:lineRule="auto"/>
              <w:ind w:left="57"/>
              <w:rPr>
                <w:rFonts w:eastAsia="Arial Unicode MS" w:cs="Arial Unicode MS"/>
                <w:sz w:val="20"/>
                <w:szCs w:val="20"/>
              </w:rPr>
            </w:pPr>
            <w:r w:rsidRPr="005A58C8">
              <w:rPr>
                <w:b/>
                <w:bCs/>
                <w:sz w:val="20"/>
                <w:szCs w:val="20"/>
              </w:rPr>
              <w:t>Operativer Cashflow</w:t>
            </w:r>
            <w:r>
              <w:rPr>
                <w:b/>
                <w:bCs/>
                <w:sz w:val="20"/>
                <w:szCs w:val="20"/>
              </w:rPr>
              <w:t xml:space="preserve">                      </w:t>
            </w:r>
            <w:r w:rsidRPr="005A58C8">
              <w:rPr>
                <w:sz w:val="16"/>
              </w:rPr>
              <w:t>Mio. Euro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5A58C8" w:rsidRDefault="005A58C8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5A58C8" w:rsidRDefault="005A58C8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5A58C8" w:rsidRDefault="005A58C8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58C8" w:rsidTr="003F143C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5A58C8" w:rsidRPr="005A58C8" w:rsidRDefault="005A58C8" w:rsidP="003F143C">
            <w:pPr>
              <w:tabs>
                <w:tab w:val="right" w:pos="3828"/>
              </w:tabs>
              <w:spacing w:line="240" w:lineRule="auto"/>
              <w:ind w:lef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5A58C8" w:rsidRDefault="005A58C8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5A58C8" w:rsidRDefault="005A58C8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5A58C8" w:rsidRDefault="005A58C8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1E49DB" w:rsidTr="003F143C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1E49DB" w:rsidP="003F143C">
            <w:pPr>
              <w:tabs>
                <w:tab w:val="right" w:pos="3828"/>
              </w:tabs>
              <w:spacing w:line="240" w:lineRule="auto"/>
              <w:ind w:left="57"/>
              <w:rPr>
                <w:rFonts w:eastAsia="Arial Unicode MS" w:cs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Umsatz</w:t>
            </w:r>
            <w:r>
              <w:rPr>
                <w:sz w:val="16"/>
              </w:rPr>
              <w:tab/>
              <w:t>Mio. Euro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8A2BDF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8A2BDF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12.443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8A2BDF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</w:tr>
      <w:tr w:rsidR="001E49DB" w:rsidTr="003F143C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Pr="00817483" w:rsidRDefault="001E49DB" w:rsidP="003F143C">
            <w:pPr>
              <w:tabs>
                <w:tab w:val="right" w:pos="3828"/>
              </w:tabs>
              <w:spacing w:line="240" w:lineRule="auto"/>
              <w:ind w:left="57"/>
              <w:rPr>
                <w:bCs/>
                <w:sz w:val="20"/>
                <w:szCs w:val="20"/>
              </w:rPr>
            </w:pPr>
            <w:r w:rsidRPr="00817483">
              <w:rPr>
                <w:bCs/>
                <w:sz w:val="20"/>
                <w:szCs w:val="20"/>
              </w:rPr>
              <w:t>Davon:</w:t>
            </w:r>
          </w:p>
          <w:p w:rsidR="001E49DB" w:rsidRDefault="001E49DB" w:rsidP="003F143C">
            <w:pPr>
              <w:tabs>
                <w:tab w:val="right" w:pos="3828"/>
              </w:tabs>
              <w:spacing w:line="240" w:lineRule="auto"/>
              <w:ind w:left="57"/>
              <w:rPr>
                <w:b/>
                <w:bCs/>
                <w:sz w:val="20"/>
                <w:szCs w:val="20"/>
              </w:rPr>
            </w:pPr>
            <w:r w:rsidRPr="00817483">
              <w:rPr>
                <w:bCs/>
                <w:sz w:val="20"/>
                <w:szCs w:val="20"/>
              </w:rPr>
              <w:t>Automobile</w:t>
            </w:r>
            <w:r>
              <w:rPr>
                <w:bCs/>
                <w:sz w:val="20"/>
                <w:szCs w:val="20"/>
              </w:rPr>
              <w:t xml:space="preserve">                                         </w:t>
            </w:r>
            <w:r w:rsidRPr="00817483">
              <w:rPr>
                <w:sz w:val="16"/>
              </w:rPr>
              <w:t>Mio. Euro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8A2BDF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8A2BDF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10.672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8A2BDF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</w:tr>
      <w:tr w:rsidR="001E49DB" w:rsidTr="003F143C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Pr="00817483" w:rsidRDefault="001E49DB" w:rsidP="003F143C">
            <w:pPr>
              <w:tabs>
                <w:tab w:val="right" w:pos="3828"/>
              </w:tabs>
              <w:spacing w:line="240" w:lineRule="auto"/>
              <w:ind w:left="57"/>
              <w:rPr>
                <w:bCs/>
                <w:sz w:val="20"/>
                <w:szCs w:val="20"/>
              </w:rPr>
            </w:pPr>
            <w:r w:rsidRPr="00817483">
              <w:rPr>
                <w:bCs/>
                <w:sz w:val="20"/>
                <w:szCs w:val="20"/>
              </w:rPr>
              <w:t>Motorräder</w:t>
            </w:r>
            <w:r w:rsidRPr="0081748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</w:t>
            </w:r>
            <w:r w:rsidRPr="00817483">
              <w:rPr>
                <w:sz w:val="16"/>
              </w:rPr>
              <w:t>Mio. Euro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8A2BDF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8A2BDF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8A2BDF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</w:tc>
      </w:tr>
      <w:tr w:rsidR="001E49DB" w:rsidTr="003F143C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Pr="00817483" w:rsidRDefault="001E49DB" w:rsidP="003F143C">
            <w:pPr>
              <w:tabs>
                <w:tab w:val="right" w:pos="3828"/>
              </w:tabs>
              <w:spacing w:line="240" w:lineRule="auto"/>
              <w:ind w:left="57"/>
              <w:rPr>
                <w:bCs/>
                <w:sz w:val="20"/>
                <w:szCs w:val="20"/>
              </w:rPr>
            </w:pPr>
            <w:r w:rsidRPr="00817483">
              <w:rPr>
                <w:bCs/>
                <w:sz w:val="20"/>
                <w:szCs w:val="20"/>
              </w:rPr>
              <w:t>Finanzdienstleistungen</w:t>
            </w:r>
            <w:r>
              <w:rPr>
                <w:bCs/>
                <w:sz w:val="20"/>
                <w:szCs w:val="20"/>
              </w:rPr>
              <w:t xml:space="preserve">                     </w:t>
            </w:r>
            <w:r w:rsidRPr="00817483">
              <w:rPr>
                <w:sz w:val="16"/>
              </w:rPr>
              <w:t>Mio. Euro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8A2BDF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8A2BDF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8A2BDF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</w:tr>
      <w:tr w:rsidR="001E49DB" w:rsidTr="003F143C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511C2B" w:rsidP="003F143C">
            <w:pPr>
              <w:tabs>
                <w:tab w:val="right" w:pos="3828"/>
              </w:tabs>
              <w:spacing w:line="240" w:lineRule="auto"/>
              <w:ind w:left="57"/>
              <w:rPr>
                <w:sz w:val="20"/>
                <w:szCs w:val="20"/>
              </w:rPr>
            </w:pPr>
            <w:r w:rsidRPr="00511C2B">
              <w:rPr>
                <w:bCs/>
                <w:sz w:val="20"/>
                <w:szCs w:val="20"/>
              </w:rPr>
              <w:t xml:space="preserve">Konsolidierungen   </w:t>
            </w:r>
            <w:r w:rsidRPr="00511C2B">
              <w:rPr>
                <w:sz w:val="16"/>
              </w:rPr>
              <w:t xml:space="preserve">                            </w:t>
            </w:r>
            <w:r>
              <w:rPr>
                <w:sz w:val="16"/>
              </w:rPr>
              <w:t xml:space="preserve">      </w:t>
            </w:r>
            <w:r w:rsidRPr="00511C2B">
              <w:rPr>
                <w:sz w:val="16"/>
              </w:rPr>
              <w:t>Mio. Euro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511C2B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-2.917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511C2B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-2.585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511C2B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9DB" w:rsidTr="003F143C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Pr="009C4854" w:rsidRDefault="001E49DB" w:rsidP="003F143C">
            <w:pPr>
              <w:tabs>
                <w:tab w:val="right" w:pos="3828"/>
              </w:tabs>
              <w:spacing w:line="240" w:lineRule="auto"/>
              <w:ind w:lef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Ergebnis vor Finanzergebnis</w:t>
            </w:r>
            <w:r w:rsidR="00511C2B">
              <w:rPr>
                <w:sz w:val="16"/>
              </w:rPr>
              <w:t xml:space="preserve">      </w:t>
            </w:r>
            <w:r>
              <w:rPr>
                <w:sz w:val="16"/>
              </w:rPr>
              <w:t>Mio. Euro</w:t>
            </w:r>
            <w:r w:rsidRPr="009C4854">
              <w:rPr>
                <w:sz w:val="16"/>
              </w:rPr>
              <w:t xml:space="preserve">                    </w:t>
            </w:r>
            <w:r>
              <w:rPr>
                <w:sz w:val="16"/>
              </w:rPr>
              <w:t xml:space="preserve">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Pr="009C4854" w:rsidRDefault="008A2BDF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Pr="009C4854" w:rsidRDefault="008A2BDF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Pr="009C4854" w:rsidRDefault="001E49DB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9DB" w:rsidTr="003F143C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Pr="008B2E78" w:rsidRDefault="001E49DB" w:rsidP="003F143C">
            <w:pPr>
              <w:tabs>
                <w:tab w:val="right" w:pos="3828"/>
              </w:tabs>
              <w:spacing w:line="240" w:lineRule="auto"/>
              <w:ind w:left="57"/>
              <w:rPr>
                <w:bCs/>
                <w:sz w:val="20"/>
                <w:szCs w:val="20"/>
              </w:rPr>
            </w:pPr>
            <w:r w:rsidRPr="008B2E78">
              <w:rPr>
                <w:bCs/>
                <w:sz w:val="20"/>
                <w:szCs w:val="20"/>
              </w:rPr>
              <w:t>Davon:</w:t>
            </w:r>
          </w:p>
          <w:p w:rsidR="001E49DB" w:rsidRPr="009C4854" w:rsidRDefault="001E49DB" w:rsidP="003F143C">
            <w:pPr>
              <w:tabs>
                <w:tab w:val="right" w:pos="3828"/>
              </w:tabs>
              <w:spacing w:line="240" w:lineRule="auto"/>
              <w:ind w:left="57"/>
              <w:rPr>
                <w:b/>
                <w:bCs/>
                <w:sz w:val="20"/>
                <w:szCs w:val="20"/>
              </w:rPr>
            </w:pPr>
            <w:r w:rsidRPr="008B2E78">
              <w:rPr>
                <w:bCs/>
                <w:sz w:val="20"/>
                <w:szCs w:val="20"/>
              </w:rPr>
              <w:t>Automobile</w:t>
            </w:r>
            <w:r>
              <w:rPr>
                <w:bCs/>
                <w:sz w:val="20"/>
                <w:szCs w:val="20"/>
              </w:rPr>
              <w:t xml:space="preserve">                                         </w:t>
            </w:r>
            <w:r w:rsidRPr="008B2E78">
              <w:rPr>
                <w:sz w:val="16"/>
              </w:rPr>
              <w:t>Mio. Euro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8A2BDF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8A2BDF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1E49DB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9DB" w:rsidRPr="00455522" w:rsidTr="003F143C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Pr="008B2E78" w:rsidRDefault="001E49DB" w:rsidP="003F143C">
            <w:pPr>
              <w:tabs>
                <w:tab w:val="right" w:pos="3828"/>
              </w:tabs>
              <w:spacing w:line="240" w:lineRule="auto"/>
              <w:ind w:left="5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Motorräder                                          </w:t>
            </w:r>
            <w:r w:rsidRPr="00775D64">
              <w:rPr>
                <w:sz w:val="16"/>
              </w:rPr>
              <w:t>Mio. Euro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C11C52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C11C52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C11C52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-3,1</w:t>
            </w:r>
          </w:p>
        </w:tc>
      </w:tr>
      <w:tr w:rsidR="001E49DB" w:rsidRPr="00455522" w:rsidTr="003F143C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1E49DB" w:rsidP="003F143C">
            <w:pPr>
              <w:tabs>
                <w:tab w:val="right" w:pos="3828"/>
              </w:tabs>
              <w:spacing w:line="240" w:lineRule="auto"/>
              <w:ind w:left="5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Finanzdienstleistungen                      </w:t>
            </w:r>
            <w:r w:rsidRPr="00775D64">
              <w:rPr>
                <w:sz w:val="16"/>
              </w:rPr>
              <w:t>Mio. Euro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C11C52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C11C52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C11C52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</w:tc>
      </w:tr>
      <w:tr w:rsidR="001E49DB" w:rsidRPr="00455522" w:rsidTr="003F143C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Pr="00817483" w:rsidRDefault="00511C2B" w:rsidP="003F143C">
            <w:pPr>
              <w:tabs>
                <w:tab w:val="right" w:pos="3828"/>
              </w:tabs>
              <w:spacing w:line="240" w:lineRule="auto"/>
              <w:ind w:left="5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Konsolidierungen                               </w:t>
            </w:r>
            <w:r w:rsidRPr="00511C2B">
              <w:rPr>
                <w:sz w:val="16"/>
              </w:rPr>
              <w:t>Mio. Euro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511C2B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511C2B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511C2B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9DB" w:rsidRPr="00455522" w:rsidTr="003F143C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Pr="00F233F0" w:rsidRDefault="001E49DB" w:rsidP="003F143C">
            <w:pPr>
              <w:tabs>
                <w:tab w:val="right" w:pos="3828"/>
              </w:tabs>
              <w:spacing w:line="240" w:lineRule="auto"/>
              <w:ind w:left="57"/>
              <w:rPr>
                <w:b/>
                <w:bCs/>
                <w:sz w:val="20"/>
                <w:szCs w:val="20"/>
              </w:rPr>
            </w:pPr>
            <w:r w:rsidRPr="00F233F0">
              <w:rPr>
                <w:b/>
                <w:bCs/>
                <w:sz w:val="20"/>
                <w:szCs w:val="20"/>
              </w:rPr>
              <w:t>Ergebnis vor Steuern</w:t>
            </w:r>
            <w:r>
              <w:rPr>
                <w:b/>
                <w:bCs/>
                <w:sz w:val="20"/>
                <w:szCs w:val="20"/>
              </w:rPr>
              <w:t xml:space="preserve">                     </w:t>
            </w:r>
            <w:r>
              <w:rPr>
                <w:sz w:val="16"/>
              </w:rPr>
              <w:t>Mio. Euro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C11C52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C11C52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1E49DB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9DB" w:rsidRPr="009C4854" w:rsidTr="003F143C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Pr="008B2E78" w:rsidRDefault="001E49DB" w:rsidP="003F143C">
            <w:pPr>
              <w:tabs>
                <w:tab w:val="right" w:pos="3828"/>
              </w:tabs>
              <w:spacing w:line="240" w:lineRule="auto"/>
              <w:ind w:left="57"/>
              <w:rPr>
                <w:bCs/>
                <w:sz w:val="20"/>
                <w:szCs w:val="20"/>
              </w:rPr>
            </w:pPr>
            <w:r w:rsidRPr="008B2E78">
              <w:rPr>
                <w:bCs/>
                <w:sz w:val="20"/>
                <w:szCs w:val="20"/>
              </w:rPr>
              <w:t>Davon:</w:t>
            </w:r>
          </w:p>
          <w:p w:rsidR="001E49DB" w:rsidRPr="009C4854" w:rsidRDefault="001E49DB" w:rsidP="003F143C">
            <w:pPr>
              <w:tabs>
                <w:tab w:val="right" w:pos="3828"/>
              </w:tabs>
              <w:spacing w:line="240" w:lineRule="auto"/>
              <w:ind w:left="57"/>
              <w:rPr>
                <w:b/>
                <w:bCs/>
                <w:sz w:val="20"/>
                <w:szCs w:val="20"/>
              </w:rPr>
            </w:pPr>
            <w:r w:rsidRPr="008B2E78">
              <w:rPr>
                <w:bCs/>
                <w:sz w:val="20"/>
                <w:szCs w:val="20"/>
              </w:rPr>
              <w:t>Automobile</w:t>
            </w:r>
            <w:r>
              <w:rPr>
                <w:bCs/>
                <w:sz w:val="20"/>
                <w:szCs w:val="20"/>
              </w:rPr>
              <w:t xml:space="preserve">                                         </w:t>
            </w:r>
            <w:r w:rsidRPr="008B2E78">
              <w:rPr>
                <w:sz w:val="16"/>
              </w:rPr>
              <w:t>Mio. Euro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Pr="009C4854" w:rsidRDefault="00C11C52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Pr="009C4854" w:rsidRDefault="00C11C52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Pr="009C4854" w:rsidRDefault="001E49DB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9DB" w:rsidRPr="009C4854" w:rsidTr="003F143C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Pr="008B2E78" w:rsidRDefault="001E49DB" w:rsidP="003F143C">
            <w:pPr>
              <w:tabs>
                <w:tab w:val="right" w:pos="3828"/>
              </w:tabs>
              <w:spacing w:line="240" w:lineRule="auto"/>
              <w:ind w:left="5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Motorräder                                          </w:t>
            </w:r>
            <w:r w:rsidRPr="00775D64">
              <w:rPr>
                <w:sz w:val="16"/>
              </w:rPr>
              <w:t>Mio. Euro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C11C52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C11C52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1E49DB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9DB" w:rsidRPr="009C4854" w:rsidTr="003F143C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1E49DB" w:rsidP="003F143C">
            <w:pPr>
              <w:tabs>
                <w:tab w:val="right" w:pos="3828"/>
              </w:tabs>
              <w:spacing w:line="240" w:lineRule="auto"/>
              <w:ind w:left="5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Finanzdienstleistungen                      </w:t>
            </w:r>
            <w:r w:rsidRPr="00775D64">
              <w:rPr>
                <w:sz w:val="16"/>
              </w:rPr>
              <w:t>Mio. Euro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C11C52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C11C52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C11C52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</w:tr>
      <w:tr w:rsidR="001E49DB" w:rsidRPr="009C4854" w:rsidTr="003F143C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511C2B" w:rsidP="003F143C">
            <w:pPr>
              <w:tabs>
                <w:tab w:val="right" w:pos="3828"/>
              </w:tabs>
              <w:spacing w:line="240" w:lineRule="auto"/>
              <w:ind w:left="5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Konsolidierungen                               </w:t>
            </w:r>
            <w:r w:rsidRPr="00511C2B">
              <w:rPr>
                <w:sz w:val="16"/>
              </w:rPr>
              <w:t>Mio. Euro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511C2B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511C2B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1E49DB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9DB" w:rsidRPr="00F233F0" w:rsidTr="003F143C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1E49DB" w:rsidP="003F143C">
            <w:pPr>
              <w:pStyle w:val="berschrift6"/>
              <w:tabs>
                <w:tab w:val="right" w:pos="3828"/>
              </w:tabs>
              <w:ind w:left="57"/>
              <w:rPr>
                <w:rFonts w:ascii="BMWTypeLight" w:hAnsi="BMWTypeLight"/>
                <w:b w:val="0"/>
                <w:bCs w:val="0"/>
              </w:rPr>
            </w:pPr>
            <w:r>
              <w:rPr>
                <w:rFonts w:ascii="BMWTypeLight" w:hAnsi="BMWTypeLight"/>
              </w:rPr>
              <w:t>Steuern auf das Ergebnis</w:t>
            </w:r>
            <w:r>
              <w:rPr>
                <w:rFonts w:ascii="BMWTypeLight" w:hAnsi="BMWTypeLight"/>
                <w:sz w:val="16"/>
              </w:rPr>
              <w:t xml:space="preserve"> </w:t>
            </w:r>
            <w:r>
              <w:rPr>
                <w:rFonts w:ascii="BMWTypeLight" w:hAnsi="BMWTypeLight"/>
                <w:sz w:val="16"/>
              </w:rPr>
              <w:tab/>
            </w:r>
            <w:r>
              <w:rPr>
                <w:rFonts w:ascii="BMWTypeLight" w:eastAsia="Times New Roman" w:hAnsi="BMWTypeLight" w:cs="Times New Roman"/>
                <w:b w:val="0"/>
                <w:bCs w:val="0"/>
                <w:sz w:val="16"/>
                <w:szCs w:val="24"/>
              </w:rPr>
              <w:t>Mio. Euro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C11C52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C11C52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-184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1E49DB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9DB" w:rsidTr="003F143C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1E49DB" w:rsidP="003F143C">
            <w:pPr>
              <w:pStyle w:val="berschrift6"/>
              <w:tabs>
                <w:tab w:val="right" w:pos="3828"/>
              </w:tabs>
              <w:ind w:left="57"/>
              <w:rPr>
                <w:rFonts w:ascii="BMWTypeLight" w:hAnsi="BMWTypeLight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1E49DB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1E49DB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1E49DB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1E49DB" w:rsidRPr="002802E4" w:rsidTr="003F143C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1E49DB" w:rsidP="003F143C">
            <w:pPr>
              <w:tabs>
                <w:tab w:val="right" w:pos="3828"/>
              </w:tabs>
              <w:spacing w:line="240" w:lineRule="auto"/>
              <w:ind w:left="57"/>
              <w:rPr>
                <w:rFonts w:eastAsia="Arial Unicode MS" w:cs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Überschuss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>Mio. Euro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C11C52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C11C52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1E49DB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9DB" w:rsidRPr="002802E4" w:rsidTr="003F143C">
        <w:trPr>
          <w:trHeight w:val="264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1E49DB" w:rsidP="003F143C">
            <w:pPr>
              <w:tabs>
                <w:tab w:val="right" w:pos="3828"/>
              </w:tabs>
              <w:spacing w:line="240" w:lineRule="auto"/>
              <w:ind w:left="57"/>
              <w:rPr>
                <w:rFonts w:eastAsia="Arial Unicode MS" w:cs="Arial Unicode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Ergebnis pro Aktie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sz w:val="16"/>
              </w:rPr>
              <w:t>Euro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391659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1,84/1,84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391659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0,49</w:t>
            </w:r>
            <w:r w:rsidR="001E49DB">
              <w:rPr>
                <w:sz w:val="20"/>
                <w:szCs w:val="20"/>
              </w:rPr>
              <w:t>/0,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1E49DB" w:rsidP="003F143C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49DB" w:rsidRPr="00C86774" w:rsidTr="003F143C">
        <w:trPr>
          <w:trHeight w:val="264"/>
        </w:trPr>
        <w:tc>
          <w:tcPr>
            <w:tcW w:w="8832" w:type="dxa"/>
            <w:gridSpan w:val="4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1E49DB" w:rsidP="003F143C">
            <w:pPr>
              <w:tabs>
                <w:tab w:val="clear" w:pos="454"/>
                <w:tab w:val="left" w:pos="142"/>
              </w:tabs>
              <w:spacing w:before="40" w:after="40" w:line="240" w:lineRule="auto"/>
              <w:ind w:left="142" w:hanging="142"/>
              <w:rPr>
                <w:sz w:val="16"/>
              </w:rPr>
            </w:pPr>
            <w:r>
              <w:rPr>
                <w:sz w:val="16"/>
                <w:vertAlign w:val="superscript"/>
              </w:rPr>
              <w:t>1</w:t>
            </w:r>
            <w:r>
              <w:rPr>
                <w:sz w:val="16"/>
                <w:vertAlign w:val="superscript"/>
              </w:rPr>
              <w:tab/>
            </w:r>
            <w:r>
              <w:rPr>
                <w:sz w:val="16"/>
                <w:szCs w:val="20"/>
              </w:rPr>
              <w:t xml:space="preserve">Werte ohne ruhende Arbeitsverhältnisse, ohne Mitarbeiter in Altersteilzeit und Freizeitphase, ohne Geringverdiener. </w:t>
            </w:r>
          </w:p>
        </w:tc>
      </w:tr>
      <w:tr w:rsidR="001E49DB" w:rsidRPr="00C86774" w:rsidTr="003F143C">
        <w:trPr>
          <w:trHeight w:val="264"/>
        </w:trPr>
        <w:tc>
          <w:tcPr>
            <w:tcW w:w="8832" w:type="dxa"/>
            <w:gridSpan w:val="4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1E49DB" w:rsidP="003F143C">
            <w:pPr>
              <w:tabs>
                <w:tab w:val="clear" w:pos="454"/>
                <w:tab w:val="left" w:pos="142"/>
              </w:tabs>
              <w:spacing w:before="40" w:after="40" w:line="240" w:lineRule="auto"/>
              <w:ind w:left="142" w:hanging="142"/>
              <w:rPr>
                <w:sz w:val="16"/>
                <w:vertAlign w:val="superscript"/>
              </w:rPr>
            </w:pPr>
            <w:r>
              <w:rPr>
                <w:sz w:val="16"/>
                <w:vertAlign w:val="superscript"/>
              </w:rPr>
              <w:t xml:space="preserve">2  </w:t>
            </w:r>
            <w:r>
              <w:rPr>
                <w:sz w:val="16"/>
                <w:szCs w:val="20"/>
              </w:rPr>
              <w:t>Ergebnis je Aktie nach IAS 33 für Stamm-/Vorzugsaktien</w:t>
            </w:r>
          </w:p>
        </w:tc>
      </w:tr>
      <w:tr w:rsidR="001E49DB" w:rsidRPr="0087546C" w:rsidTr="003F143C">
        <w:trPr>
          <w:trHeight w:val="264"/>
        </w:trPr>
        <w:tc>
          <w:tcPr>
            <w:tcW w:w="8832" w:type="dxa"/>
            <w:gridSpan w:val="4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1E49DB" w:rsidP="003F143C">
            <w:pPr>
              <w:tabs>
                <w:tab w:val="clear" w:pos="454"/>
                <w:tab w:val="clear" w:pos="4706"/>
                <w:tab w:val="left" w:pos="142"/>
              </w:tabs>
              <w:spacing w:before="40" w:after="40" w:line="240" w:lineRule="auto"/>
              <w:ind w:left="142" w:hanging="142"/>
              <w:rPr>
                <w:sz w:val="16"/>
              </w:rPr>
            </w:pPr>
          </w:p>
        </w:tc>
      </w:tr>
    </w:tbl>
    <w:p w:rsidR="001E49DB" w:rsidRDefault="001E49DB" w:rsidP="001E49DB">
      <w:pPr>
        <w:spacing w:line="360" w:lineRule="auto"/>
        <w:rPr>
          <w:b/>
          <w:sz w:val="20"/>
          <w:szCs w:val="20"/>
        </w:rPr>
      </w:pPr>
    </w:p>
    <w:p w:rsidR="00034658" w:rsidRDefault="00034658">
      <w:pPr>
        <w:tabs>
          <w:tab w:val="clear" w:pos="454"/>
          <w:tab w:val="clear" w:pos="4706"/>
        </w:tabs>
        <w:spacing w:line="240" w:lineRule="auto"/>
        <w:rPr>
          <w:b/>
          <w:sz w:val="20"/>
          <w:szCs w:val="20"/>
        </w:rPr>
      </w:pPr>
    </w:p>
    <w:p w:rsidR="001E49DB" w:rsidRPr="00785DA7" w:rsidRDefault="001E49DB" w:rsidP="001E49DB">
      <w:pPr>
        <w:spacing w:line="360" w:lineRule="auto"/>
        <w:rPr>
          <w:b/>
          <w:sz w:val="20"/>
          <w:szCs w:val="20"/>
        </w:rPr>
      </w:pPr>
      <w:r w:rsidRPr="00785DA7">
        <w:rPr>
          <w:b/>
          <w:sz w:val="20"/>
          <w:szCs w:val="20"/>
        </w:rPr>
        <w:t>Die BMW Group</w:t>
      </w:r>
    </w:p>
    <w:p w:rsidR="001E49DB" w:rsidRDefault="001E49DB" w:rsidP="001E49DB">
      <w:pPr>
        <w:spacing w:line="240" w:lineRule="auto"/>
        <w:rPr>
          <w:sz w:val="20"/>
          <w:szCs w:val="20"/>
        </w:rPr>
      </w:pPr>
      <w:r w:rsidRPr="00CD3D11">
        <w:rPr>
          <w:sz w:val="20"/>
          <w:szCs w:val="20"/>
        </w:rPr>
        <w:t>Die BMW Group ist mit ihren drei Marken BMW, MINI und Rolls-Royce einer der weltweit erfolgreichsten Premium-Hersteller von Automobilen und Motorrädern. Als internationaler Konzern betreibt das Unternehmen 24 Produktionsstätten in 13 Ländern sowie ein globales Vertriebsnetzwerk mit Vertretungen in über 140 Ländern.</w:t>
      </w:r>
    </w:p>
    <w:p w:rsidR="001E49DB" w:rsidRPr="00CD3D11" w:rsidRDefault="001E49DB" w:rsidP="001E49DB">
      <w:pPr>
        <w:spacing w:line="240" w:lineRule="auto"/>
        <w:rPr>
          <w:sz w:val="20"/>
          <w:szCs w:val="20"/>
        </w:rPr>
      </w:pPr>
    </w:p>
    <w:p w:rsidR="001E49DB" w:rsidRDefault="001E49DB" w:rsidP="001E49DB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Im Geschäftsjahr 2010</w:t>
      </w:r>
      <w:r w:rsidRPr="00CD3D11">
        <w:rPr>
          <w:sz w:val="20"/>
          <w:szCs w:val="20"/>
        </w:rPr>
        <w:t xml:space="preserve"> erzielte die BMW Group </w:t>
      </w:r>
      <w:r>
        <w:rPr>
          <w:sz w:val="20"/>
          <w:szCs w:val="20"/>
        </w:rPr>
        <w:t>einen weltweiten Absatz von 1,46</w:t>
      </w:r>
      <w:r w:rsidRPr="00CD3D11">
        <w:rPr>
          <w:sz w:val="20"/>
          <w:szCs w:val="20"/>
        </w:rPr>
        <w:t xml:space="preserve"> Mi</w:t>
      </w:r>
      <w:r>
        <w:rPr>
          <w:sz w:val="20"/>
          <w:szCs w:val="20"/>
        </w:rPr>
        <w:t>llionen Automobilen und über 110</w:t>
      </w:r>
      <w:r w:rsidRPr="00CD3D11">
        <w:rPr>
          <w:sz w:val="20"/>
          <w:szCs w:val="20"/>
        </w:rPr>
        <w:t>.000 Motorräd</w:t>
      </w:r>
      <w:r>
        <w:rPr>
          <w:sz w:val="20"/>
          <w:szCs w:val="20"/>
        </w:rPr>
        <w:t>ern. Das Ergebnis vor Steuern belief sich auf rund 4,8 Mrd. Euro, der Umsatz auf 60,5 Milliarden Euro. Zum 31. Dezember 2010</w:t>
      </w:r>
      <w:r w:rsidRPr="00CD3D11">
        <w:rPr>
          <w:sz w:val="20"/>
          <w:szCs w:val="20"/>
        </w:rPr>
        <w:t xml:space="preserve"> beschäftigte </w:t>
      </w:r>
      <w:r>
        <w:rPr>
          <w:sz w:val="20"/>
          <w:szCs w:val="20"/>
        </w:rPr>
        <w:t xml:space="preserve">das Unternehmen weltweit rund 95.500 Mitarbeiterinnen </w:t>
      </w:r>
      <w:r w:rsidRPr="00CD3D11">
        <w:rPr>
          <w:sz w:val="20"/>
          <w:szCs w:val="20"/>
        </w:rPr>
        <w:t>und Mitarbeiter.</w:t>
      </w:r>
    </w:p>
    <w:p w:rsidR="001E49DB" w:rsidRPr="00CD3D11" w:rsidRDefault="001E49DB" w:rsidP="001E49DB">
      <w:pPr>
        <w:spacing w:line="240" w:lineRule="auto"/>
        <w:rPr>
          <w:sz w:val="20"/>
          <w:szCs w:val="20"/>
        </w:rPr>
      </w:pPr>
    </w:p>
    <w:p w:rsidR="001E49DB" w:rsidRPr="00CD3D11" w:rsidRDefault="001E49DB" w:rsidP="001E49DB">
      <w:pPr>
        <w:spacing w:line="240" w:lineRule="auto"/>
        <w:rPr>
          <w:sz w:val="20"/>
          <w:szCs w:val="20"/>
        </w:rPr>
      </w:pPr>
      <w:r w:rsidRPr="00CD3D11">
        <w:rPr>
          <w:sz w:val="20"/>
          <w:szCs w:val="20"/>
        </w:rPr>
        <w:t>Seit jeher sind langfristiges Denken und verantwortungsvolles Handeln die Grundlage des wirtschaftlichen Erfolges</w:t>
      </w:r>
      <w:r>
        <w:rPr>
          <w:sz w:val="20"/>
          <w:szCs w:val="20"/>
        </w:rPr>
        <w:t xml:space="preserve"> der BMW Group. Das Unternehmen </w:t>
      </w:r>
      <w:r w:rsidRPr="00CD3D11">
        <w:rPr>
          <w:sz w:val="20"/>
          <w:szCs w:val="20"/>
        </w:rPr>
        <w:t>hat ökologische und soziale Nachhaltigkeit entlang der gesamten Wertschöpfungskette, umfassende Produktverantwortung sowie ein klares Bekenntnis zur Schonung von Ressourcen fest in seiner Strategie verankert. Entsprec</w:t>
      </w:r>
      <w:r>
        <w:rPr>
          <w:sz w:val="20"/>
          <w:szCs w:val="20"/>
        </w:rPr>
        <w:t>hend ist die BMW Group seit sechs</w:t>
      </w:r>
      <w:r w:rsidRPr="00CD3D11">
        <w:rPr>
          <w:sz w:val="20"/>
          <w:szCs w:val="20"/>
        </w:rPr>
        <w:t xml:space="preserve"> Jahren Branchenführer in den Dow Jones Sustainability Indizes.</w:t>
      </w:r>
    </w:p>
    <w:tbl>
      <w:tblPr>
        <w:tblW w:w="88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8832"/>
      </w:tblGrid>
      <w:tr w:rsidR="001E49DB" w:rsidRPr="005A299A" w:rsidTr="003F143C">
        <w:trPr>
          <w:trHeight w:val="264"/>
        </w:trPr>
        <w:tc>
          <w:tcPr>
            <w:tcW w:w="8832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1E49DB" w:rsidRDefault="001E49DB" w:rsidP="003F143C">
            <w:pPr>
              <w:tabs>
                <w:tab w:val="clear" w:pos="454"/>
                <w:tab w:val="clear" w:pos="4706"/>
              </w:tabs>
              <w:spacing w:line="240" w:lineRule="auto"/>
              <w:rPr>
                <w:sz w:val="16"/>
              </w:rPr>
            </w:pPr>
          </w:p>
        </w:tc>
      </w:tr>
    </w:tbl>
    <w:p w:rsidR="001E49DB" w:rsidRDefault="001E49DB" w:rsidP="001E49DB">
      <w:pPr>
        <w:pStyle w:val="Fliesstext"/>
      </w:pPr>
    </w:p>
    <w:p w:rsidR="001E49DB" w:rsidRPr="00607E38" w:rsidRDefault="001E49DB" w:rsidP="001E49DB">
      <w:pPr>
        <w:pStyle w:val="Fliesstext"/>
      </w:pPr>
      <w:r>
        <w:rPr>
          <w:sz w:val="18"/>
          <w:szCs w:val="18"/>
        </w:rPr>
        <w:t>Bitte wenden Sie sich bei Rückfragen an:</w:t>
      </w:r>
    </w:p>
    <w:p w:rsidR="001E49DB" w:rsidRDefault="001E49DB" w:rsidP="001E49DB">
      <w:pPr>
        <w:pStyle w:val="Fliesstext"/>
        <w:rPr>
          <w:sz w:val="18"/>
          <w:szCs w:val="18"/>
        </w:rPr>
      </w:pPr>
    </w:p>
    <w:p w:rsidR="001E49DB" w:rsidRDefault="005923A5" w:rsidP="001E49DB">
      <w:pPr>
        <w:pStyle w:val="Fliesstext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Unternehmenskommunikation</w:t>
      </w:r>
    </w:p>
    <w:p w:rsidR="001E49DB" w:rsidRDefault="001E49DB" w:rsidP="001E49DB">
      <w:pPr>
        <w:pStyle w:val="Fliesstext"/>
        <w:rPr>
          <w:sz w:val="18"/>
          <w:szCs w:val="18"/>
        </w:rPr>
      </w:pPr>
    </w:p>
    <w:p w:rsidR="001E49DB" w:rsidRDefault="001E49DB" w:rsidP="001E49DB">
      <w:pPr>
        <w:pStyle w:val="Fliesstext"/>
        <w:rPr>
          <w:sz w:val="18"/>
          <w:szCs w:val="18"/>
        </w:rPr>
      </w:pPr>
      <w:r>
        <w:rPr>
          <w:sz w:val="18"/>
          <w:szCs w:val="18"/>
        </w:rPr>
        <w:t>Mathias Schmidt, Finanzkommunikation</w:t>
      </w:r>
      <w:r>
        <w:rPr>
          <w:sz w:val="18"/>
          <w:szCs w:val="18"/>
        </w:rPr>
        <w:br/>
        <w:t>Telefon: (+ 49 89) 382-24118, Fax: (+ 49 89) 382-24418</w:t>
      </w:r>
    </w:p>
    <w:p w:rsidR="001E49DB" w:rsidRDefault="001E49DB" w:rsidP="001E49DB">
      <w:pPr>
        <w:pStyle w:val="Fliesstext"/>
        <w:rPr>
          <w:sz w:val="18"/>
          <w:szCs w:val="18"/>
        </w:rPr>
      </w:pPr>
    </w:p>
    <w:p w:rsidR="001E49DB" w:rsidRDefault="001E49DB" w:rsidP="001E49DB">
      <w:pPr>
        <w:pStyle w:val="Fliesstext"/>
        <w:outlineLvl w:val="0"/>
        <w:rPr>
          <w:sz w:val="18"/>
          <w:szCs w:val="18"/>
        </w:rPr>
      </w:pPr>
      <w:r>
        <w:rPr>
          <w:sz w:val="18"/>
          <w:szCs w:val="18"/>
        </w:rPr>
        <w:t>Internet: www.press.bmwgroup.com</w:t>
      </w:r>
    </w:p>
    <w:p w:rsidR="001E49DB" w:rsidRPr="0008658A" w:rsidRDefault="001E49DB" w:rsidP="001E49DB">
      <w:pPr>
        <w:pStyle w:val="Fliesstext"/>
        <w:rPr>
          <w:sz w:val="18"/>
          <w:szCs w:val="18"/>
        </w:rPr>
      </w:pPr>
      <w:r>
        <w:rPr>
          <w:sz w:val="18"/>
          <w:szCs w:val="18"/>
        </w:rPr>
        <w:t>e-mail: presse@bmwgroup.com</w:t>
      </w:r>
    </w:p>
    <w:p w:rsidR="001E49DB" w:rsidRDefault="001E49DB" w:rsidP="001E49DB">
      <w:pPr>
        <w:spacing w:line="360" w:lineRule="auto"/>
      </w:pPr>
    </w:p>
    <w:p w:rsidR="00906DB2" w:rsidRPr="00273628" w:rsidRDefault="00906DB2" w:rsidP="001F1E9D">
      <w:pPr>
        <w:pStyle w:val="Fliesstext"/>
        <w:tabs>
          <w:tab w:val="clear" w:pos="4706"/>
        </w:tabs>
      </w:pPr>
    </w:p>
    <w:p w:rsidR="00EC39E8" w:rsidRPr="00273628" w:rsidRDefault="00EC39E8" w:rsidP="001F1E9D">
      <w:pPr>
        <w:pStyle w:val="Fliesstext"/>
        <w:tabs>
          <w:tab w:val="clear" w:pos="4706"/>
        </w:tabs>
        <w:sectPr w:rsidR="00EC39E8" w:rsidRPr="00273628">
          <w:headerReference w:type="default" r:id="rId8"/>
          <w:footerReference w:type="even" r:id="rId9"/>
          <w:headerReference w:type="first" r:id="rId10"/>
          <w:footerReference w:type="first" r:id="rId11"/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formProt w:val="0"/>
          <w:titlePg/>
        </w:sectPr>
      </w:pPr>
    </w:p>
    <w:p w:rsidR="00453FB9" w:rsidRDefault="00453FB9" w:rsidP="00D805FA">
      <w:pPr>
        <w:pStyle w:val="Fliesstext"/>
        <w:tabs>
          <w:tab w:val="clear" w:pos="4706"/>
        </w:tabs>
      </w:pPr>
    </w:p>
    <w:sectPr w:rsidR="00453FB9" w:rsidSect="00EB68FF">
      <w:type w:val="continuous"/>
      <w:pgSz w:w="11907" w:h="16840" w:code="9"/>
      <w:pgMar w:top="1814" w:right="2098" w:bottom="1361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3A5" w:rsidRDefault="005923A5">
      <w:r>
        <w:separator/>
      </w:r>
    </w:p>
  </w:endnote>
  <w:endnote w:type="continuationSeparator" w:id="0">
    <w:p w:rsidR="005923A5" w:rsidRDefault="00592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3A5" w:rsidRDefault="00476CB6">
    <w:pPr>
      <w:framePr w:wrap="around" w:vAnchor="text" w:hAnchor="margin" w:y="1"/>
    </w:pPr>
    <w:r>
      <w:fldChar w:fldCharType="begin"/>
    </w:r>
    <w:r w:rsidR="005923A5">
      <w:instrText xml:space="preserve">PAGE  </w:instrText>
    </w:r>
    <w:r>
      <w:fldChar w:fldCharType="end"/>
    </w:r>
  </w:p>
  <w:p w:rsidR="005923A5" w:rsidRDefault="005923A5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3A5" w:rsidRDefault="005923A5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3A5" w:rsidRDefault="005923A5">
      <w:r>
        <w:separator/>
      </w:r>
    </w:p>
  </w:footnote>
  <w:footnote w:type="continuationSeparator" w:id="0">
    <w:p w:rsidR="005923A5" w:rsidRDefault="005923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5923A5" w:rsidTr="0064570D">
      <w:tc>
        <w:tcPr>
          <w:tcW w:w="1928" w:type="dxa"/>
        </w:tcPr>
        <w:p w:rsidR="005923A5" w:rsidRDefault="005923A5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5923A5" w:rsidRDefault="005923A5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5923A5" w:rsidRDefault="005923A5" w:rsidP="0064570D">
          <w:pPr>
            <w:pStyle w:val="Fliesstext"/>
            <w:framePr w:w="11340" w:hSpace="142" w:wrap="notBeside" w:vAnchor="page" w:hAnchor="page" w:y="1815" w:anchorLock="1"/>
          </w:pPr>
          <w:r>
            <w:t>Presse-Information</w:t>
          </w:r>
        </w:p>
      </w:tc>
    </w:tr>
    <w:tr w:rsidR="005923A5" w:rsidTr="0064570D">
      <w:tc>
        <w:tcPr>
          <w:tcW w:w="1928" w:type="dxa"/>
        </w:tcPr>
        <w:p w:rsidR="005923A5" w:rsidRDefault="005923A5">
          <w:pPr>
            <w:pStyle w:val="zzmarginalielightseite2"/>
            <w:framePr w:wrap="notBeside" w:y="1815"/>
            <w:spacing w:line="330" w:lineRule="exact"/>
          </w:pPr>
          <w:r>
            <w:t>Datum</w:t>
          </w:r>
        </w:p>
      </w:tc>
      <w:tc>
        <w:tcPr>
          <w:tcW w:w="170" w:type="dxa"/>
        </w:tcPr>
        <w:p w:rsidR="005923A5" w:rsidRDefault="005923A5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5923A5" w:rsidRDefault="00476CB6" w:rsidP="0064570D">
          <w:pPr>
            <w:pStyle w:val="Fliesstext"/>
            <w:framePr w:w="11340" w:hSpace="142" w:wrap="notBeside" w:vAnchor="page" w:hAnchor="page" w:y="1815" w:anchorLock="1"/>
          </w:pPr>
          <w:fldSimple w:instr=" REF  Datum  \* MERGEFORMAT ">
            <w:r w:rsidR="002F773B" w:rsidRPr="002F773B">
              <w:rPr>
                <w:bCs/>
              </w:rPr>
              <w:t>4.</w:t>
            </w:r>
            <w:r w:rsidR="002F773B" w:rsidRPr="002F773B">
              <w:rPr>
                <w:noProof/>
                <w:lang w:val="en-US"/>
              </w:rPr>
              <w:t xml:space="preserve"> Mai 2011</w:t>
            </w:r>
          </w:fldSimple>
        </w:p>
      </w:tc>
    </w:tr>
    <w:tr w:rsidR="005923A5" w:rsidTr="0064570D">
      <w:tc>
        <w:tcPr>
          <w:tcW w:w="1928" w:type="dxa"/>
        </w:tcPr>
        <w:p w:rsidR="005923A5" w:rsidRDefault="005923A5">
          <w:pPr>
            <w:pStyle w:val="zzmarginalielightseite2"/>
            <w:framePr w:wrap="notBeside" w:y="1815"/>
            <w:spacing w:line="330" w:lineRule="exact"/>
          </w:pPr>
          <w:r>
            <w:t>Thema</w:t>
          </w:r>
        </w:p>
      </w:tc>
      <w:tc>
        <w:tcPr>
          <w:tcW w:w="170" w:type="dxa"/>
        </w:tcPr>
        <w:p w:rsidR="005923A5" w:rsidRDefault="005923A5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5923A5" w:rsidRPr="00974C4C" w:rsidRDefault="005923A5" w:rsidP="00B90B16">
          <w:pPr>
            <w:pStyle w:val="Fliesstext"/>
            <w:framePr w:w="11340" w:hSpace="142" w:wrap="notBeside" w:vAnchor="page" w:hAnchor="page" w:y="1815" w:anchorLock="1"/>
            <w:rPr>
              <w:szCs w:val="22"/>
            </w:rPr>
          </w:pPr>
          <w:r w:rsidRPr="00974C4C">
            <w:rPr>
              <w:rStyle w:val="Char"/>
              <w:rFonts w:ascii="BMWType V2 Light" w:hAnsi="BMWType V2 Light" w:cs="BMWType V2 Light"/>
              <w:sz w:val="22"/>
              <w:szCs w:val="22"/>
            </w:rPr>
            <w:t xml:space="preserve">BMW Group </w:t>
          </w:r>
          <w:r>
            <w:rPr>
              <w:rStyle w:val="Char"/>
              <w:rFonts w:ascii="BMWType V2 Light" w:hAnsi="BMWType V2 Light" w:cs="BMWType V2 Light"/>
              <w:sz w:val="22"/>
              <w:szCs w:val="22"/>
            </w:rPr>
            <w:t>erzielt im ersten Quartal Rekordergebnis</w:t>
          </w:r>
        </w:p>
      </w:tc>
    </w:tr>
    <w:tr w:rsidR="005923A5" w:rsidTr="0064570D">
      <w:tc>
        <w:tcPr>
          <w:tcW w:w="1928" w:type="dxa"/>
        </w:tcPr>
        <w:p w:rsidR="005923A5" w:rsidRDefault="005923A5">
          <w:pPr>
            <w:pStyle w:val="zzmarginalielightseite2"/>
            <w:framePr w:wrap="notBeside" w:y="1815"/>
            <w:spacing w:line="330" w:lineRule="exact"/>
          </w:pPr>
          <w:r>
            <w:t>Seite</w:t>
          </w:r>
        </w:p>
      </w:tc>
      <w:tc>
        <w:tcPr>
          <w:tcW w:w="170" w:type="dxa"/>
        </w:tcPr>
        <w:p w:rsidR="005923A5" w:rsidRDefault="005923A5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5923A5" w:rsidRDefault="00476CB6" w:rsidP="0064570D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B54B35">
              <w:rPr>
                <w:noProof/>
              </w:rPr>
              <w:t>7</w:t>
            </w:r>
          </w:fldSimple>
        </w:p>
      </w:tc>
    </w:tr>
    <w:tr w:rsidR="005923A5">
      <w:tc>
        <w:tcPr>
          <w:tcW w:w="1928" w:type="dxa"/>
          <w:vAlign w:val="bottom"/>
        </w:tcPr>
        <w:p w:rsidR="005923A5" w:rsidRDefault="005923A5">
          <w:pPr>
            <w:pStyle w:val="zzmarginalielightseite2"/>
            <w:framePr w:wrap="notBeside" w:y="1815"/>
          </w:pPr>
        </w:p>
        <w:p w:rsidR="005923A5" w:rsidRDefault="005923A5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5923A5" w:rsidRDefault="005923A5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5923A5" w:rsidRDefault="005923A5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5923A5" w:rsidRPr="0074214B" w:rsidRDefault="005923A5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6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5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76CB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04.9pt;margin-top:60.95pt;width:462.05pt;height:19.85pt;z-index:-251656192;mso-position-horizontal-relative:page;mso-position-vertical-relative:page" wrapcoords="-35 0 -35 20769 21600 20769 21600 0 -35 0" stroked="f">
          <v:textbox inset="0,0,0,0">
            <w:txbxContent>
              <w:p w:rsidR="005923A5" w:rsidRPr="00207B19" w:rsidRDefault="005923A5" w:rsidP="00F5677A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Unternehmenskommunikation</w:t>
                </w:r>
              </w:p>
            </w:txbxContent>
          </v:textbox>
          <w10:wrap type="tight"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3A5" w:rsidRDefault="00476CB6">
    <w:pPr>
      <w:pStyle w:val="Kopfzeil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04.9pt;margin-top:60.95pt;width:462.05pt;height:19.85pt;z-index:251657216;mso-position-horizontal-relative:page;mso-position-vertical-relative:page" stroked="f">
          <v:textbox inset="0,0,0,0">
            <w:txbxContent>
              <w:p w:rsidR="005923A5" w:rsidRPr="00207B19" w:rsidRDefault="005923A5" w:rsidP="00906DB2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Unternehmenskommunikation</w:t>
                </w:r>
              </w:p>
            </w:txbxContent>
          </v:textbox>
          <w10:wrap anchorx="page" anchory="page"/>
        </v:shape>
      </w:pict>
    </w:r>
    <w:r w:rsidR="005923A5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3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923A5"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2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745FAE"/>
    <w:multiLevelType w:val="hybridMultilevel"/>
    <w:tmpl w:val="87069196"/>
    <w:lvl w:ilvl="0" w:tplc="255CA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D07A42"/>
    <w:multiLevelType w:val="hybridMultilevel"/>
    <w:tmpl w:val="999C6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C4362"/>
    <w:multiLevelType w:val="hybridMultilevel"/>
    <w:tmpl w:val="F3C6BC1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83A239B"/>
    <w:multiLevelType w:val="hybridMultilevel"/>
    <w:tmpl w:val="7F066D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3"/>
  </w:num>
  <w:num w:numId="14">
    <w:abstractNumId w:val="1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cumentProtection w:edit="forms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34658"/>
    <w:rsid w:val="00042406"/>
    <w:rsid w:val="000577A1"/>
    <w:rsid w:val="00093F79"/>
    <w:rsid w:val="000A230B"/>
    <w:rsid w:val="000A5831"/>
    <w:rsid w:val="000B26CD"/>
    <w:rsid w:val="000B549B"/>
    <w:rsid w:val="000D4685"/>
    <w:rsid w:val="00107804"/>
    <w:rsid w:val="00120ABD"/>
    <w:rsid w:val="00132432"/>
    <w:rsid w:val="00134F5E"/>
    <w:rsid w:val="00163A1C"/>
    <w:rsid w:val="00174640"/>
    <w:rsid w:val="00184FCF"/>
    <w:rsid w:val="001A2144"/>
    <w:rsid w:val="001A3ED9"/>
    <w:rsid w:val="001B5495"/>
    <w:rsid w:val="001C51EA"/>
    <w:rsid w:val="001E49DB"/>
    <w:rsid w:val="001F1E9D"/>
    <w:rsid w:val="001F273B"/>
    <w:rsid w:val="001F398B"/>
    <w:rsid w:val="00205587"/>
    <w:rsid w:val="00212437"/>
    <w:rsid w:val="00224335"/>
    <w:rsid w:val="00232061"/>
    <w:rsid w:val="00256038"/>
    <w:rsid w:val="00272142"/>
    <w:rsid w:val="00273628"/>
    <w:rsid w:val="002865D0"/>
    <w:rsid w:val="002962BB"/>
    <w:rsid w:val="002963D5"/>
    <w:rsid w:val="002A31CE"/>
    <w:rsid w:val="002B3AC1"/>
    <w:rsid w:val="002B50ED"/>
    <w:rsid w:val="002C3818"/>
    <w:rsid w:val="002E542D"/>
    <w:rsid w:val="002E655A"/>
    <w:rsid w:val="002F1EFC"/>
    <w:rsid w:val="002F73B4"/>
    <w:rsid w:val="002F773B"/>
    <w:rsid w:val="003047D5"/>
    <w:rsid w:val="0031394B"/>
    <w:rsid w:val="0032535C"/>
    <w:rsid w:val="003355A6"/>
    <w:rsid w:val="003408F3"/>
    <w:rsid w:val="00342E39"/>
    <w:rsid w:val="00346C27"/>
    <w:rsid w:val="00354D37"/>
    <w:rsid w:val="00354DFD"/>
    <w:rsid w:val="0035668A"/>
    <w:rsid w:val="00365ECA"/>
    <w:rsid w:val="003665F6"/>
    <w:rsid w:val="00380BE7"/>
    <w:rsid w:val="00391659"/>
    <w:rsid w:val="00396C45"/>
    <w:rsid w:val="003D6286"/>
    <w:rsid w:val="003F143C"/>
    <w:rsid w:val="003F3C50"/>
    <w:rsid w:val="003F6CA6"/>
    <w:rsid w:val="00403175"/>
    <w:rsid w:val="0044492C"/>
    <w:rsid w:val="00446F17"/>
    <w:rsid w:val="00453FB9"/>
    <w:rsid w:val="004552DB"/>
    <w:rsid w:val="00476CB6"/>
    <w:rsid w:val="00480AB9"/>
    <w:rsid w:val="004B19BA"/>
    <w:rsid w:val="004B45CC"/>
    <w:rsid w:val="004C6722"/>
    <w:rsid w:val="004E48AC"/>
    <w:rsid w:val="004F1360"/>
    <w:rsid w:val="004F51B3"/>
    <w:rsid w:val="005009A9"/>
    <w:rsid w:val="00511C2B"/>
    <w:rsid w:val="005150D7"/>
    <w:rsid w:val="005164F4"/>
    <w:rsid w:val="005177BC"/>
    <w:rsid w:val="00521F5A"/>
    <w:rsid w:val="005230FE"/>
    <w:rsid w:val="00536C65"/>
    <w:rsid w:val="00541069"/>
    <w:rsid w:val="005451F1"/>
    <w:rsid w:val="0055435D"/>
    <w:rsid w:val="00564BE1"/>
    <w:rsid w:val="005923A5"/>
    <w:rsid w:val="005A10B2"/>
    <w:rsid w:val="005A58C8"/>
    <w:rsid w:val="005A6CE7"/>
    <w:rsid w:val="005C3473"/>
    <w:rsid w:val="005C5522"/>
    <w:rsid w:val="0061488B"/>
    <w:rsid w:val="00616469"/>
    <w:rsid w:val="006168EC"/>
    <w:rsid w:val="00617678"/>
    <w:rsid w:val="00623D6A"/>
    <w:rsid w:val="00627AE9"/>
    <w:rsid w:val="0063062E"/>
    <w:rsid w:val="006358B0"/>
    <w:rsid w:val="00645091"/>
    <w:rsid w:val="0064570D"/>
    <w:rsid w:val="00657554"/>
    <w:rsid w:val="00664BEB"/>
    <w:rsid w:val="006769F7"/>
    <w:rsid w:val="006845C3"/>
    <w:rsid w:val="006B6DA8"/>
    <w:rsid w:val="006D137C"/>
    <w:rsid w:val="006F7CBB"/>
    <w:rsid w:val="00705FCF"/>
    <w:rsid w:val="00722E65"/>
    <w:rsid w:val="007277BE"/>
    <w:rsid w:val="007300B4"/>
    <w:rsid w:val="00741B77"/>
    <w:rsid w:val="0074214B"/>
    <w:rsid w:val="007449A1"/>
    <w:rsid w:val="00746D0C"/>
    <w:rsid w:val="00772989"/>
    <w:rsid w:val="0078538A"/>
    <w:rsid w:val="00790898"/>
    <w:rsid w:val="007A0258"/>
    <w:rsid w:val="007A6C2C"/>
    <w:rsid w:val="007B6E8D"/>
    <w:rsid w:val="007E4513"/>
    <w:rsid w:val="00806494"/>
    <w:rsid w:val="00807D14"/>
    <w:rsid w:val="0083195F"/>
    <w:rsid w:val="008467A9"/>
    <w:rsid w:val="00846A76"/>
    <w:rsid w:val="0085506D"/>
    <w:rsid w:val="00857D89"/>
    <w:rsid w:val="008671B0"/>
    <w:rsid w:val="00885087"/>
    <w:rsid w:val="00897462"/>
    <w:rsid w:val="008A2BDF"/>
    <w:rsid w:val="008C5F6F"/>
    <w:rsid w:val="008C62F9"/>
    <w:rsid w:val="008C6C5C"/>
    <w:rsid w:val="008C6CD5"/>
    <w:rsid w:val="008C7D4D"/>
    <w:rsid w:val="008E6774"/>
    <w:rsid w:val="00906DB2"/>
    <w:rsid w:val="009148C6"/>
    <w:rsid w:val="00925DAD"/>
    <w:rsid w:val="00941D1B"/>
    <w:rsid w:val="00947310"/>
    <w:rsid w:val="00956BCE"/>
    <w:rsid w:val="00960515"/>
    <w:rsid w:val="009705B2"/>
    <w:rsid w:val="00974C4C"/>
    <w:rsid w:val="00981418"/>
    <w:rsid w:val="009B4C69"/>
    <w:rsid w:val="009C4815"/>
    <w:rsid w:val="009F5CA8"/>
    <w:rsid w:val="00A12E85"/>
    <w:rsid w:val="00A16843"/>
    <w:rsid w:val="00A16DB3"/>
    <w:rsid w:val="00A95122"/>
    <w:rsid w:val="00AA7C04"/>
    <w:rsid w:val="00AD52D9"/>
    <w:rsid w:val="00AD737A"/>
    <w:rsid w:val="00AE0CD4"/>
    <w:rsid w:val="00B127CB"/>
    <w:rsid w:val="00B24DCD"/>
    <w:rsid w:val="00B3486E"/>
    <w:rsid w:val="00B54B35"/>
    <w:rsid w:val="00B90B16"/>
    <w:rsid w:val="00BA1033"/>
    <w:rsid w:val="00BD233F"/>
    <w:rsid w:val="00BE2DBC"/>
    <w:rsid w:val="00BF3DD5"/>
    <w:rsid w:val="00C11C52"/>
    <w:rsid w:val="00C13810"/>
    <w:rsid w:val="00C277C9"/>
    <w:rsid w:val="00C62714"/>
    <w:rsid w:val="00C6486B"/>
    <w:rsid w:val="00C70D11"/>
    <w:rsid w:val="00C95023"/>
    <w:rsid w:val="00CA6367"/>
    <w:rsid w:val="00CC42EB"/>
    <w:rsid w:val="00CE63EA"/>
    <w:rsid w:val="00CF1B61"/>
    <w:rsid w:val="00D05AE9"/>
    <w:rsid w:val="00D25018"/>
    <w:rsid w:val="00D3261C"/>
    <w:rsid w:val="00D35B7F"/>
    <w:rsid w:val="00D3699D"/>
    <w:rsid w:val="00D55546"/>
    <w:rsid w:val="00D67A17"/>
    <w:rsid w:val="00D70AAD"/>
    <w:rsid w:val="00D805FA"/>
    <w:rsid w:val="00DE5071"/>
    <w:rsid w:val="00DF0E2B"/>
    <w:rsid w:val="00E3582F"/>
    <w:rsid w:val="00E41B90"/>
    <w:rsid w:val="00E41C69"/>
    <w:rsid w:val="00E643B5"/>
    <w:rsid w:val="00E95122"/>
    <w:rsid w:val="00EA085E"/>
    <w:rsid w:val="00EA49BA"/>
    <w:rsid w:val="00EB260A"/>
    <w:rsid w:val="00EB68FF"/>
    <w:rsid w:val="00EC39E8"/>
    <w:rsid w:val="00ED6BED"/>
    <w:rsid w:val="00ED73FF"/>
    <w:rsid w:val="00EF18D0"/>
    <w:rsid w:val="00EF3AC1"/>
    <w:rsid w:val="00EF70B1"/>
    <w:rsid w:val="00F1345C"/>
    <w:rsid w:val="00F41C00"/>
    <w:rsid w:val="00F4767C"/>
    <w:rsid w:val="00F50DAA"/>
    <w:rsid w:val="00F54125"/>
    <w:rsid w:val="00F54B14"/>
    <w:rsid w:val="00F5677A"/>
    <w:rsid w:val="00F90ED2"/>
    <w:rsid w:val="00F95B23"/>
    <w:rsid w:val="00FB286E"/>
    <w:rsid w:val="00FB3165"/>
    <w:rsid w:val="00FB4C91"/>
    <w:rsid w:val="00FC0726"/>
    <w:rsid w:val="00FD489E"/>
    <w:rsid w:val="00FF6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</w:rPr>
  </w:style>
  <w:style w:type="paragraph" w:styleId="berschrift1">
    <w:name w:val="heading 1"/>
    <w:basedOn w:val="Standard"/>
    <w:next w:val="Standard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berschrift2">
    <w:name w:val="heading 2"/>
    <w:basedOn w:val="Standard"/>
    <w:next w:val="Standard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berschrift3">
    <w:name w:val="heading 3"/>
    <w:basedOn w:val="Standard"/>
    <w:next w:val="Standard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berschrift5">
    <w:name w:val="heading 5"/>
    <w:basedOn w:val="Standard"/>
    <w:next w:val="Standard"/>
    <w:link w:val="berschrift5Zchn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 w:cs="Arial Unicode MS"/>
      <w:b/>
      <w:bCs/>
      <w:sz w:val="16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 w:cs="Arial Unicode MS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Standard"/>
    <w:rsid w:val="0078538A"/>
  </w:style>
  <w:style w:type="paragraph" w:styleId="Funotentext">
    <w:name w:val="footnote text"/>
    <w:basedOn w:val="Standard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el">
    <w:name w:val="Title"/>
    <w:basedOn w:val="Standard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Untertitel">
    <w:name w:val="Subtitle"/>
    <w:basedOn w:val="Standard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Standard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Standard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Standard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Standard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Standard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Standard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Standard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Standard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Standard"/>
    <w:rsid w:val="0078538A"/>
    <w:rPr>
      <w:rFonts w:ascii="BMWType V2 Bold" w:hAnsi="BMWType V2 Bold"/>
    </w:rPr>
  </w:style>
  <w:style w:type="paragraph" w:customStyle="1" w:styleId="zztitelseite2">
    <w:name w:val="zz_titel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Standard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Sprechblasentext">
    <w:name w:val="Balloon Text"/>
    <w:basedOn w:val="Standard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Absatz-Standardschriftart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Absatz-Standardschriftart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Absatz-Standardschriftart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Absatz-Standardschriftart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basedOn w:val="Absatz-Standardschriftart"/>
    <w:rsid w:val="0074214B"/>
    <w:rPr>
      <w:color w:val="0000FF"/>
      <w:u w:val="single"/>
    </w:rPr>
  </w:style>
  <w:style w:type="paragraph" w:styleId="Kopfzeile">
    <w:name w:val="header"/>
    <w:basedOn w:val="Standard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basedOn w:val="Absatz-Standardschriftart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uzeile">
    <w:name w:val="footer"/>
    <w:basedOn w:val="Standard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Standard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</w:rPr>
  </w:style>
  <w:style w:type="paragraph" w:customStyle="1" w:styleId="zztabelleseite2">
    <w:name w:val="zz_tabelle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basedOn w:val="Absatz-Standardschriftart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basedOn w:val="Absatz-Standardschriftart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basedOn w:val="Absatz-Standardschriftart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berschrift5Zchn">
    <w:name w:val="Überschrift 5 Zchn"/>
    <w:basedOn w:val="Absatz-Standardschriftart"/>
    <w:link w:val="berschrift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berschrift6Zchn">
    <w:name w:val="Überschrift 6 Zchn"/>
    <w:basedOn w:val="Absatz-Standardschriftart"/>
    <w:link w:val="berschrift6"/>
    <w:rsid w:val="001E49DB"/>
    <w:rPr>
      <w:rFonts w:ascii="BMW Helvetica Light" w:eastAsia="Arial Unicode MS" w:hAnsi="BMW Helvetica Light" w:cs="Arial Unicode MS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D6847-CA7F-4621-B368-FD57FF710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EMAILGRDml.dot</Template>
  <TotalTime>0</TotalTime>
  <Pages>7</Pages>
  <Words>1495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11181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Gehring Jutta</dc:creator>
  <cp:keywords/>
  <dc:description/>
  <cp:lastModifiedBy>Gehring Jutta</cp:lastModifiedBy>
  <cp:revision>2</cp:revision>
  <cp:lastPrinted>2011-05-03T09:13:00Z</cp:lastPrinted>
  <dcterms:created xsi:type="dcterms:W3CDTF">2011-05-04T05:02:00Z</dcterms:created>
  <dcterms:modified xsi:type="dcterms:W3CDTF">2011-05-04T05:02:00Z</dcterms:modified>
</cp:coreProperties>
</file>