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272142" w:rsidRDefault="00273628">
      <w:pPr>
        <w:pStyle w:val="Fliesstext"/>
      </w:pPr>
      <w:r>
        <w:t>Presse-</w:t>
      </w:r>
      <w:r w:rsidR="00EC39E8" w:rsidRPr="00272142">
        <w:t>Information</w:t>
      </w:r>
      <w:r w:rsidR="00ED02BF">
        <w:t xml:space="preserve"> </w:t>
      </w:r>
      <w:r w:rsidR="00EC39E8" w:rsidRPr="00272142">
        <w:br/>
      </w:r>
      <w:bookmarkStart w:id="0" w:name="Datum"/>
      <w:r w:rsidR="000D60F1">
        <w:rPr>
          <w:lang w:val="en-US"/>
        </w:rPr>
        <w:fldChar w:fldCharType="begin">
          <w:ffData>
            <w:name w:val="Datum"/>
            <w:enabled/>
            <w:calcOnExit w:val="0"/>
            <w:textInput>
              <w:default w:val="2. August 2011"/>
            </w:textInput>
          </w:ffData>
        </w:fldChar>
      </w:r>
      <w:r w:rsidR="00F340DC" w:rsidRPr="00E42509">
        <w:instrText xml:space="preserve"> FORMTEXT </w:instrText>
      </w:r>
      <w:r w:rsidR="000D60F1">
        <w:rPr>
          <w:lang w:val="en-US"/>
        </w:rPr>
      </w:r>
      <w:r w:rsidR="000D60F1">
        <w:rPr>
          <w:lang w:val="en-US"/>
        </w:rPr>
        <w:fldChar w:fldCharType="separate"/>
      </w:r>
      <w:r w:rsidR="00F340DC" w:rsidRPr="00E42509">
        <w:rPr>
          <w:noProof/>
        </w:rPr>
        <w:t>2. August 2011</w:t>
      </w:r>
      <w:r w:rsidR="000D60F1">
        <w:rPr>
          <w:lang w:val="en-US"/>
        </w:rPr>
        <w:fldChar w:fldCharType="end"/>
      </w:r>
      <w:bookmarkEnd w:id="0"/>
      <w:r w:rsidR="00EC39E8" w:rsidRPr="00272142">
        <w:br/>
      </w:r>
    </w:p>
    <w:p w:rsidR="00EC39E8" w:rsidRPr="00272142" w:rsidRDefault="00EC39E8">
      <w:pPr>
        <w:pStyle w:val="Fliesstext"/>
      </w:pPr>
    </w:p>
    <w:p w:rsidR="00EC39E8" w:rsidRPr="00272142" w:rsidRDefault="00EC39E8">
      <w:pPr>
        <w:pStyle w:val="Fliesstext"/>
      </w:pPr>
    </w:p>
    <w:p w:rsidR="00EC39E8" w:rsidRPr="00272142" w:rsidRDefault="00273628" w:rsidP="00906DB2">
      <w:pPr>
        <w:pStyle w:val="zzmarginalieregular"/>
        <w:framePr w:h="1911" w:hRule="exact" w:wrap="around" w:x="568" w:y="14431"/>
      </w:pPr>
      <w:r>
        <w:t>Firma</w:t>
      </w:r>
    </w:p>
    <w:p w:rsidR="00EC39E8" w:rsidRPr="00272142" w:rsidRDefault="00EC39E8" w:rsidP="00906DB2">
      <w:pPr>
        <w:pStyle w:val="zzmarginalielight"/>
        <w:framePr w:h="1911" w:hRule="exact" w:wrap="around" w:x="568" w:y="14431"/>
      </w:pPr>
      <w:r w:rsidRPr="00272142">
        <w:t>Bayerische</w:t>
      </w:r>
    </w:p>
    <w:p w:rsidR="00EC39E8" w:rsidRPr="00272142" w:rsidRDefault="00EC39E8" w:rsidP="00906DB2">
      <w:pPr>
        <w:pStyle w:val="zzmarginalielight"/>
        <w:framePr w:h="1911" w:hRule="exact" w:wrap="around" w:x="568" w:y="14431"/>
      </w:pPr>
      <w:r w:rsidRPr="00272142">
        <w:t>Motoren Werke</w:t>
      </w:r>
    </w:p>
    <w:p w:rsidR="00EC39E8" w:rsidRPr="00272142" w:rsidRDefault="00EC39E8" w:rsidP="00906DB2">
      <w:pPr>
        <w:pStyle w:val="zzmarginalielight"/>
        <w:framePr w:h="1911" w:hRule="exact" w:wrap="around" w:x="568" w:y="14431"/>
      </w:pPr>
      <w:r w:rsidRPr="00272142">
        <w:t>Aktiengesellschaft</w:t>
      </w:r>
    </w:p>
    <w:p w:rsidR="00EC39E8" w:rsidRPr="00272142" w:rsidRDefault="00EC39E8" w:rsidP="00906DB2">
      <w:pPr>
        <w:pStyle w:val="zzmarginalielight"/>
        <w:framePr w:h="1911" w:hRule="exact" w:wrap="around" w:x="568" w:y="14431"/>
      </w:pPr>
    </w:p>
    <w:p w:rsidR="00EC39E8" w:rsidRPr="00273628" w:rsidRDefault="00273628" w:rsidP="00906DB2">
      <w:pPr>
        <w:pStyle w:val="zzmarginalieregular"/>
        <w:framePr w:h="1911" w:hRule="exact" w:wrap="around" w:x="568" w:y="14431"/>
      </w:pPr>
      <w:r w:rsidRPr="00273628">
        <w:t>P</w:t>
      </w:r>
      <w:r>
        <w:t>ostanschrift</w:t>
      </w:r>
    </w:p>
    <w:p w:rsidR="00EC39E8" w:rsidRPr="00273628" w:rsidRDefault="00EC39E8" w:rsidP="00906DB2">
      <w:pPr>
        <w:pStyle w:val="zzmarginalielight"/>
        <w:framePr w:h="1911" w:hRule="exact" w:wrap="around" w:x="568" w:y="14431"/>
      </w:pPr>
      <w:r w:rsidRPr="00273628">
        <w:t>BMW AG</w:t>
      </w:r>
    </w:p>
    <w:p w:rsidR="00EC39E8" w:rsidRPr="00273628" w:rsidRDefault="00EC39E8" w:rsidP="00906DB2">
      <w:pPr>
        <w:pStyle w:val="zzmarginalielight"/>
        <w:framePr w:h="1911" w:hRule="exact" w:wrap="around" w:x="568" w:y="14431"/>
      </w:pPr>
      <w:r w:rsidRPr="00273628">
        <w:t>80788 München</w:t>
      </w:r>
    </w:p>
    <w:p w:rsidR="00EC39E8" w:rsidRPr="00273628" w:rsidRDefault="00EC39E8" w:rsidP="00906DB2">
      <w:pPr>
        <w:pStyle w:val="zzmarginalielight"/>
        <w:framePr w:h="1911" w:hRule="exact" w:wrap="around" w:x="568" w:y="14431"/>
      </w:pPr>
    </w:p>
    <w:p w:rsidR="00EC39E8" w:rsidRPr="00273628" w:rsidRDefault="00EC39E8" w:rsidP="00906DB2">
      <w:pPr>
        <w:pStyle w:val="zzmarginalieregular"/>
        <w:framePr w:h="1911" w:hRule="exact" w:wrap="around" w:x="568" w:y="14431"/>
      </w:pPr>
      <w:r w:rsidRPr="00273628">
        <w:t>Tele</w:t>
      </w:r>
      <w:r w:rsidR="00273628">
        <w:t>f</w:t>
      </w:r>
      <w:r w:rsidRPr="00273628">
        <w:t>on</w:t>
      </w:r>
    </w:p>
    <w:p w:rsidR="00EC39E8" w:rsidRPr="000A230B" w:rsidRDefault="000D60F1" w:rsidP="00906DB2">
      <w:pPr>
        <w:pStyle w:val="zzmarginalielight"/>
        <w:framePr w:h="1911" w:hRule="exact" w:wrap="around" w:x="568" w:y="14431"/>
      </w:pPr>
      <w:r>
        <w:rPr>
          <w:lang w:val="en-US"/>
        </w:rPr>
        <w:fldChar w:fldCharType="begin">
          <w:ffData>
            <w:name w:val="Telefon1"/>
            <w:enabled/>
            <w:calcOnExit w:val="0"/>
            <w:textInput/>
          </w:ffData>
        </w:fldChar>
      </w:r>
      <w:bookmarkStart w:id="1" w:name="Telefon1"/>
      <w:r w:rsidR="00EC39E8" w:rsidRPr="000A230B">
        <w:instrText xml:space="preserve"> FORMTEXT </w:instrText>
      </w:r>
      <w:r>
        <w:rPr>
          <w:lang w:val="en-US"/>
        </w:rPr>
      </w:r>
      <w:r>
        <w:rPr>
          <w:lang w:val="en-US"/>
        </w:rPr>
        <w:fldChar w:fldCharType="separate"/>
      </w:r>
      <w:r w:rsidR="001E49DB" w:rsidRPr="000A230B">
        <w:rPr>
          <w:noProof/>
        </w:rPr>
        <w:t>+49 89-382-24118</w:t>
      </w:r>
      <w:r>
        <w:rPr>
          <w:lang w:val="en-US"/>
        </w:rPr>
        <w:fldChar w:fldCharType="end"/>
      </w:r>
      <w:bookmarkEnd w:id="1"/>
    </w:p>
    <w:p w:rsidR="00EC39E8" w:rsidRPr="000A230B" w:rsidRDefault="00EC39E8" w:rsidP="00906DB2">
      <w:pPr>
        <w:pStyle w:val="zzmarginalielight"/>
        <w:framePr w:h="1911" w:hRule="exact" w:wrap="around" w:x="568" w:y="14431"/>
      </w:pPr>
    </w:p>
    <w:p w:rsidR="00EC39E8" w:rsidRPr="000A230B" w:rsidRDefault="00EC39E8" w:rsidP="00906DB2">
      <w:pPr>
        <w:pStyle w:val="zzmarginalieregular"/>
        <w:framePr w:h="1911" w:hRule="exact" w:wrap="around" w:x="568" w:y="14431"/>
      </w:pPr>
      <w:r w:rsidRPr="000A230B">
        <w:t>Internet</w:t>
      </w:r>
    </w:p>
    <w:p w:rsidR="00EC39E8" w:rsidRPr="000A230B" w:rsidRDefault="00EC39E8" w:rsidP="00906DB2">
      <w:pPr>
        <w:pStyle w:val="zzmarginalielight"/>
        <w:framePr w:h="1911" w:hRule="exact" w:wrap="around" w:x="568" w:y="14431"/>
      </w:pPr>
      <w:r w:rsidRPr="000A230B">
        <w:t>www.bmwgroup.com</w:t>
      </w:r>
    </w:p>
    <w:p w:rsidR="001F398B" w:rsidRPr="001E49DB" w:rsidRDefault="001F4BBC" w:rsidP="001E49DB">
      <w:pPr>
        <w:spacing w:line="240" w:lineRule="auto"/>
        <w:outlineLvl w:val="0"/>
        <w:rPr>
          <w:rStyle w:val="Char"/>
          <w:rFonts w:ascii="BMWType V2 Light" w:hAnsi="BMWType V2 Light" w:cs="BMWType V2 Light"/>
          <w:b/>
        </w:rPr>
      </w:pPr>
      <w:bookmarkStart w:id="2" w:name="OLE_LINK1"/>
      <w:bookmarkStart w:id="3" w:name="Subthema"/>
      <w:r>
        <w:rPr>
          <w:rStyle w:val="Char"/>
          <w:rFonts w:ascii="BMWType V2 Light" w:hAnsi="BMWType V2 Light" w:cs="BMWType V2 Light"/>
          <w:b/>
        </w:rPr>
        <w:t xml:space="preserve">BMW Group bleibt </w:t>
      </w:r>
      <w:r w:rsidR="00F340DC">
        <w:rPr>
          <w:rStyle w:val="Char"/>
          <w:rFonts w:ascii="BMWType V2 Light" w:hAnsi="BMWType V2 Light" w:cs="BMWType V2 Light"/>
          <w:b/>
        </w:rPr>
        <w:t>im zweiten Qu</w:t>
      </w:r>
      <w:r>
        <w:rPr>
          <w:rStyle w:val="Char"/>
          <w:rFonts w:ascii="BMWType V2 Light" w:hAnsi="BMWType V2 Light" w:cs="BMWType V2 Light"/>
          <w:b/>
        </w:rPr>
        <w:t>artal auf Rekordkurs</w:t>
      </w:r>
    </w:p>
    <w:bookmarkEnd w:id="2"/>
    <w:bookmarkEnd w:id="3"/>
    <w:p w:rsidR="001F398B" w:rsidRDefault="001F398B"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Ergebnis</w:t>
      </w:r>
      <w:r w:rsidR="00F340DC">
        <w:rPr>
          <w:rStyle w:val="Char"/>
          <w:rFonts w:ascii="BMWType V2 Light" w:hAnsi="BMWType V2 Light" w:cs="BMWType V2 Light"/>
          <w:bCs/>
          <w:color w:val="808080" w:themeColor="background1" w:themeShade="80"/>
        </w:rPr>
        <w:t xml:space="preserve"> v</w:t>
      </w:r>
      <w:r w:rsidR="005C4890">
        <w:rPr>
          <w:rStyle w:val="Char"/>
          <w:rFonts w:ascii="BMWType V2 Light" w:hAnsi="BMWType V2 Light" w:cs="BMWType V2 Light"/>
          <w:bCs/>
          <w:color w:val="808080" w:themeColor="background1" w:themeShade="80"/>
        </w:rPr>
        <w:t>or</w:t>
      </w:r>
      <w:r w:rsidR="00E47D8C">
        <w:rPr>
          <w:rStyle w:val="Char"/>
          <w:rFonts w:ascii="BMWType V2 Light" w:hAnsi="BMWType V2 Light" w:cs="BMWType V2 Light"/>
          <w:bCs/>
          <w:color w:val="808080" w:themeColor="background1" w:themeShade="80"/>
        </w:rPr>
        <w:t xml:space="preserve"> Finanzergebnis steigt auf 2.856</w:t>
      </w:r>
      <w:r>
        <w:rPr>
          <w:rStyle w:val="Char"/>
          <w:rFonts w:ascii="BMWType V2 Light" w:hAnsi="BMWType V2 Light" w:cs="BMWType V2 Light"/>
          <w:bCs/>
          <w:color w:val="808080" w:themeColor="background1" w:themeShade="80"/>
        </w:rPr>
        <w:t xml:space="preserve"> Mio. Euro</w:t>
      </w:r>
    </w:p>
    <w:p w:rsidR="001E49DB" w:rsidRDefault="001F398B"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Ergebn</w:t>
      </w:r>
      <w:r w:rsidR="00F340DC">
        <w:rPr>
          <w:rStyle w:val="Char"/>
          <w:rFonts w:ascii="BMWType V2 Light" w:hAnsi="BMWType V2 Light" w:cs="BMWType V2 Light"/>
          <w:bCs/>
          <w:color w:val="808080" w:themeColor="background1" w:themeShade="80"/>
        </w:rPr>
        <w:t>is v</w:t>
      </w:r>
      <w:r w:rsidR="00E47D8C">
        <w:rPr>
          <w:rStyle w:val="Char"/>
          <w:rFonts w:ascii="BMWType V2 Light" w:hAnsi="BMWType V2 Light" w:cs="BMWType V2 Light"/>
          <w:bCs/>
          <w:color w:val="808080" w:themeColor="background1" w:themeShade="80"/>
        </w:rPr>
        <w:t>or Steuern erhöht sich auf 2.704</w:t>
      </w:r>
      <w:r>
        <w:rPr>
          <w:rStyle w:val="Char"/>
          <w:rFonts w:ascii="BMWType V2 Light" w:hAnsi="BMWType V2 Light" w:cs="BMWType V2 Light"/>
          <w:bCs/>
          <w:color w:val="808080" w:themeColor="background1" w:themeShade="80"/>
        </w:rPr>
        <w:t xml:space="preserve"> Mio. Euro</w:t>
      </w:r>
    </w:p>
    <w:p w:rsidR="001F398B" w:rsidRDefault="001F398B"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 xml:space="preserve">EBIT </w:t>
      </w:r>
      <w:r w:rsidR="00F340DC">
        <w:rPr>
          <w:rStyle w:val="Char"/>
          <w:rFonts w:ascii="BMWType V2 Light" w:hAnsi="BMWType V2 Light" w:cs="BMWType V2 Light"/>
          <w:bCs/>
          <w:color w:val="808080" w:themeColor="background1" w:themeShade="80"/>
        </w:rPr>
        <w:t>im Segment Automobile legt auf 2.408</w:t>
      </w:r>
      <w:r>
        <w:rPr>
          <w:rStyle w:val="Char"/>
          <w:rFonts w:ascii="BMWType V2 Light" w:hAnsi="BMWType V2 Light" w:cs="BMWType V2 Light"/>
          <w:bCs/>
          <w:color w:val="808080" w:themeColor="background1" w:themeShade="80"/>
        </w:rPr>
        <w:t xml:space="preserve"> Mio. Euro zu</w:t>
      </w:r>
    </w:p>
    <w:p w:rsidR="001F398B" w:rsidRDefault="004F1360"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EBIT-Marge</w:t>
      </w:r>
      <w:r w:rsidR="001F398B">
        <w:rPr>
          <w:rStyle w:val="Char"/>
          <w:rFonts w:ascii="BMWType V2 Light" w:hAnsi="BMWType V2 Light" w:cs="BMWType V2 Light"/>
          <w:bCs/>
          <w:color w:val="808080" w:themeColor="background1" w:themeShade="80"/>
        </w:rPr>
        <w:t xml:space="preserve"> Segment </w:t>
      </w:r>
      <w:r>
        <w:rPr>
          <w:rStyle w:val="Char"/>
          <w:rFonts w:ascii="BMWType V2 Light" w:hAnsi="BMWType V2 Light" w:cs="BMWType V2 Light"/>
          <w:bCs/>
          <w:color w:val="808080" w:themeColor="background1" w:themeShade="80"/>
        </w:rPr>
        <w:t xml:space="preserve">Automobile verbessert sich auf </w:t>
      </w:r>
      <w:r w:rsidR="00F340DC">
        <w:rPr>
          <w:rStyle w:val="Char"/>
          <w:rFonts w:ascii="BMWType V2 Light" w:hAnsi="BMWType V2 Light" w:cs="BMWType V2 Light"/>
          <w:bCs/>
          <w:color w:val="808080" w:themeColor="background1" w:themeShade="80"/>
        </w:rPr>
        <w:t>14,4</w:t>
      </w:r>
      <w:r w:rsidR="001F398B">
        <w:rPr>
          <w:rStyle w:val="Char"/>
          <w:rFonts w:ascii="BMWType V2 Light" w:hAnsi="BMWType V2 Light" w:cs="BMWType V2 Light"/>
          <w:bCs/>
          <w:color w:val="808080" w:themeColor="background1" w:themeShade="80"/>
        </w:rPr>
        <w:t>%</w:t>
      </w:r>
    </w:p>
    <w:p w:rsidR="007C66C4" w:rsidRDefault="007C66C4"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Unternehmen strebt im Gesamtjahr weiter Rekordergebnis an</w:t>
      </w:r>
    </w:p>
    <w:p w:rsidR="007C66C4" w:rsidRPr="001E49DB" w:rsidRDefault="007C66C4"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EBIT-Marge von über 10% im Automobilsegment erwartet</w:t>
      </w:r>
    </w:p>
    <w:p w:rsidR="00055FB9" w:rsidRPr="001E49DB" w:rsidRDefault="00F340DC" w:rsidP="001E49DB">
      <w:pPr>
        <w:spacing w:line="240" w:lineRule="auto"/>
        <w:outlineLvl w:val="0"/>
        <w:rPr>
          <w:rStyle w:val="Char"/>
          <w:rFonts w:ascii="BMWType V2 Light" w:hAnsi="BMWType V2 Light" w:cs="BMWType V2 Light"/>
          <w:bCs/>
          <w:color w:val="808080" w:themeColor="background1" w:themeShade="80"/>
        </w:rPr>
      </w:pPr>
      <w:r>
        <w:rPr>
          <w:rStyle w:val="Char"/>
          <w:rFonts w:ascii="BMWType V2 Light" w:hAnsi="BMWType V2 Light" w:cs="BMWType V2 Light"/>
          <w:bCs/>
          <w:color w:val="808080" w:themeColor="background1" w:themeShade="80"/>
        </w:rPr>
        <w:t>Absatz soll 2</w:t>
      </w:r>
      <w:r w:rsidR="00C56568">
        <w:rPr>
          <w:rStyle w:val="Char"/>
          <w:rFonts w:ascii="BMWType V2 Light" w:hAnsi="BMWType V2 Light" w:cs="BMWType V2 Light"/>
          <w:bCs/>
          <w:color w:val="808080" w:themeColor="background1" w:themeShade="80"/>
        </w:rPr>
        <w:t>011 auf über 1,6 Mio. Fahrzeuge</w:t>
      </w:r>
      <w:r>
        <w:rPr>
          <w:rStyle w:val="Char"/>
          <w:rFonts w:ascii="BMWType V2 Light" w:hAnsi="BMWType V2 Light" w:cs="BMWType V2 Light"/>
          <w:bCs/>
          <w:color w:val="808080" w:themeColor="background1" w:themeShade="80"/>
        </w:rPr>
        <w:t xml:space="preserve"> steigen</w:t>
      </w:r>
    </w:p>
    <w:p w:rsidR="001E49DB" w:rsidRPr="00273628" w:rsidRDefault="001E49DB" w:rsidP="001F1E9D">
      <w:pPr>
        <w:pStyle w:val="Fliesstext"/>
        <w:tabs>
          <w:tab w:val="clear" w:pos="4706"/>
        </w:tabs>
      </w:pPr>
    </w:p>
    <w:p w:rsidR="002A31CE" w:rsidRDefault="00273628" w:rsidP="001E49DB">
      <w:pPr>
        <w:spacing w:line="360" w:lineRule="auto"/>
      </w:pPr>
      <w:r w:rsidRPr="00273628">
        <w:rPr>
          <w:b/>
        </w:rPr>
        <w:t>München</w:t>
      </w:r>
      <w:r w:rsidR="00EC39E8" w:rsidRPr="00273628">
        <w:rPr>
          <w:b/>
        </w:rPr>
        <w:t>.</w:t>
      </w:r>
      <w:r w:rsidR="00EC39E8" w:rsidRPr="00273628">
        <w:t xml:space="preserve"> </w:t>
      </w:r>
      <w:r w:rsidR="00354D37">
        <w:t xml:space="preserve">Die BMW Group </w:t>
      </w:r>
      <w:r w:rsidR="00B3486E">
        <w:t xml:space="preserve">hat </w:t>
      </w:r>
      <w:r w:rsidR="00A32CAC">
        <w:t xml:space="preserve">im zweiten Quartal 2011 </w:t>
      </w:r>
      <w:r w:rsidR="007C66C4">
        <w:t>erneut Bestmarken bei Absatz</w:t>
      </w:r>
      <w:r w:rsidR="00A32CAC">
        <w:t>, Umsatz</w:t>
      </w:r>
      <w:r w:rsidR="007C66C4">
        <w:t xml:space="preserve"> und Konzernergebnis erzielt</w:t>
      </w:r>
      <w:r w:rsidR="00E643B5">
        <w:t>.</w:t>
      </w:r>
      <w:r w:rsidR="00354D37">
        <w:t xml:space="preserve"> </w:t>
      </w:r>
      <w:r w:rsidR="00EF70B1">
        <w:t xml:space="preserve">Der Umsatz stieg </w:t>
      </w:r>
      <w:r w:rsidR="00BD233F">
        <w:t xml:space="preserve">im Vergleich zum </w:t>
      </w:r>
      <w:r w:rsidR="007E4513">
        <w:t xml:space="preserve">entsprechenden </w:t>
      </w:r>
      <w:r w:rsidR="00BD233F">
        <w:t>Vorjahr</w:t>
      </w:r>
      <w:r w:rsidR="007E4513">
        <w:t>eszeitraum</w:t>
      </w:r>
      <w:r w:rsidR="00BD233F">
        <w:t xml:space="preserve"> </w:t>
      </w:r>
      <w:r w:rsidR="00EF70B1">
        <w:t>u</w:t>
      </w:r>
      <w:r w:rsidR="00086992">
        <w:t>m 16,5</w:t>
      </w:r>
      <w:r w:rsidR="007C66C4">
        <w:t>% auf 17.888 (Vj. 15.348</w:t>
      </w:r>
      <w:r w:rsidR="004F1360">
        <w:t xml:space="preserve">) Mio. Euro. </w:t>
      </w:r>
      <w:r w:rsidR="007B6E8D">
        <w:t>Das Ergebnis vor Finan</w:t>
      </w:r>
      <w:r w:rsidR="00480AB9">
        <w:t>zergebnis (EBIT) erhöhte sich</w:t>
      </w:r>
      <w:r w:rsidR="00086992">
        <w:t xml:space="preserve"> um 66,3% </w:t>
      </w:r>
      <w:r w:rsidR="00480AB9">
        <w:t xml:space="preserve">auf </w:t>
      </w:r>
      <w:r w:rsidR="007C66C4">
        <w:t>2.856</w:t>
      </w:r>
      <w:r w:rsidR="00FB4C91">
        <w:t xml:space="preserve"> (</w:t>
      </w:r>
      <w:r w:rsidR="005230FE">
        <w:t xml:space="preserve">Vj. </w:t>
      </w:r>
      <w:r w:rsidR="007C66C4">
        <w:t>1.717</w:t>
      </w:r>
      <w:r w:rsidR="00FB4C91">
        <w:t>) Mio. Euro, d</w:t>
      </w:r>
      <w:r w:rsidR="004F1360">
        <w:t>as Ergebnis vor Steu</w:t>
      </w:r>
      <w:r w:rsidR="007C66C4">
        <w:t>ern (EBT) kletterte auf 2.704 (Vj. 1.299</w:t>
      </w:r>
      <w:r w:rsidR="004F1360">
        <w:t xml:space="preserve">) Mio. Euro. </w:t>
      </w:r>
      <w:r w:rsidR="00FB4C91">
        <w:t>Der Konzernüberschuss</w:t>
      </w:r>
      <w:r w:rsidR="007B6E8D">
        <w:t xml:space="preserve"> </w:t>
      </w:r>
      <w:r w:rsidR="004F1360">
        <w:t xml:space="preserve">verbesserte sich </w:t>
      </w:r>
      <w:r w:rsidR="007C66C4">
        <w:t>auf 1.809 (Vj. 834</w:t>
      </w:r>
      <w:r w:rsidR="004F1360">
        <w:t>) Mio. Euro.</w:t>
      </w:r>
      <w:r w:rsidR="00232061">
        <w:t xml:space="preserve"> </w:t>
      </w:r>
      <w:r w:rsidR="00480AB9">
        <w:t xml:space="preserve">Der Absatz </w:t>
      </w:r>
      <w:r w:rsidR="00A32CAC">
        <w:t xml:space="preserve">der BMW Group </w:t>
      </w:r>
      <w:r w:rsidR="00480AB9">
        <w:t xml:space="preserve">stieg </w:t>
      </w:r>
      <w:r w:rsidR="00086992">
        <w:t>von April bis Juni um 18,5</w:t>
      </w:r>
      <w:r w:rsidR="00480AB9">
        <w:t xml:space="preserve">% auf </w:t>
      </w:r>
      <w:r w:rsidR="009416B2">
        <w:t xml:space="preserve">den neuen Spitzenwert von </w:t>
      </w:r>
      <w:r w:rsidR="00086992">
        <w:t>450.608 (Vj. 380.412</w:t>
      </w:r>
      <w:r w:rsidR="003408F3">
        <w:t>)</w:t>
      </w:r>
      <w:r w:rsidR="00A32CAC">
        <w:t xml:space="preserve"> Automobile</w:t>
      </w:r>
      <w:r w:rsidR="009416B2">
        <w:t>n</w:t>
      </w:r>
      <w:r w:rsidR="00354D37">
        <w:t>.</w:t>
      </w:r>
    </w:p>
    <w:p w:rsidR="00056D73" w:rsidRDefault="00056D73" w:rsidP="001E49DB">
      <w:pPr>
        <w:spacing w:line="360" w:lineRule="auto"/>
      </w:pPr>
    </w:p>
    <w:p w:rsidR="00056D73" w:rsidRDefault="00086992" w:rsidP="00056D73">
      <w:pPr>
        <w:tabs>
          <w:tab w:val="clear" w:pos="454"/>
          <w:tab w:val="left" w:pos="709"/>
        </w:tabs>
        <w:spacing w:line="360" w:lineRule="auto"/>
      </w:pPr>
      <w:r>
        <w:t xml:space="preserve">Im ersten Halbjahr 2011 hat das </w:t>
      </w:r>
      <w:r w:rsidR="001B6D43">
        <w:t>Unternehmen ebenfalls Höchstwerte</w:t>
      </w:r>
      <w:r>
        <w:t xml:space="preserve"> bei </w:t>
      </w:r>
      <w:r w:rsidR="00365C25">
        <w:t>Absatz, Umsatz und Konzernergebnis erreicht. D</w:t>
      </w:r>
      <w:r>
        <w:t xml:space="preserve">er Umsatz </w:t>
      </w:r>
      <w:r w:rsidR="00365C25">
        <w:t xml:space="preserve">erhöhte sich </w:t>
      </w:r>
      <w:r>
        <w:t>um 22,1</w:t>
      </w:r>
      <w:r w:rsidR="00056D73">
        <w:t>% auf 33.925 (Vj. 27.791) Mio. Euro. Das EBIT betrug 4.758 (Vj. 2.166) Mio. Euro, das E</w:t>
      </w:r>
      <w:r w:rsidR="00953DD0">
        <w:t>rgebnis vor Steuern lag bei 4.5</w:t>
      </w:r>
      <w:r w:rsidR="00056D73">
        <w:t>1</w:t>
      </w:r>
      <w:r w:rsidR="00953DD0">
        <w:t>6</w:t>
      </w:r>
      <w:r w:rsidR="00056D73">
        <w:t xml:space="preserve"> (Vj. 1.807) Mio. Euro. </w:t>
      </w:r>
      <w:r w:rsidR="006F550D">
        <w:t>Das Ergebnis nach Steuern stieg auf 3.021 (Vj. 1.158)</w:t>
      </w:r>
      <w:r w:rsidR="005B6D1E">
        <w:t xml:space="preserve"> Mio. Euro</w:t>
      </w:r>
      <w:r w:rsidR="006F550D">
        <w:t xml:space="preserve">. </w:t>
      </w:r>
      <w:r w:rsidR="00056D73">
        <w:t>Die Auslieferungen der Marken BMW, MINI und Rolls-Royce kletterten i</w:t>
      </w:r>
      <w:r>
        <w:t>n den ersten sechs Monaten um 19,7</w:t>
      </w:r>
      <w:r w:rsidR="00056D73">
        <w:t>% auf</w:t>
      </w:r>
      <w:r>
        <w:t xml:space="preserve"> insgesamt 833.366 (</w:t>
      </w:r>
      <w:r w:rsidR="000D752F">
        <w:t xml:space="preserve">Vj. </w:t>
      </w:r>
      <w:r>
        <w:t>696.026</w:t>
      </w:r>
      <w:r w:rsidR="00056D73">
        <w:t>) Fahrzeuge.</w:t>
      </w:r>
    </w:p>
    <w:p w:rsidR="00056D73" w:rsidRDefault="00056D73" w:rsidP="001E49DB">
      <w:pPr>
        <w:spacing w:line="360" w:lineRule="auto"/>
      </w:pPr>
    </w:p>
    <w:p w:rsidR="00981418" w:rsidRDefault="006F7CBB" w:rsidP="001E49DB">
      <w:pPr>
        <w:spacing w:line="360" w:lineRule="auto"/>
      </w:pPr>
      <w:r>
        <w:t>„</w:t>
      </w:r>
      <w:r w:rsidR="00E36BFC">
        <w:t>D</w:t>
      </w:r>
      <w:r w:rsidR="000D752F">
        <w:t>as erste Halbjahr war das bislang</w:t>
      </w:r>
      <w:r w:rsidR="00E36BFC">
        <w:t xml:space="preserve"> beste in der Unternehmensgeschichte. </w:t>
      </w:r>
      <w:r w:rsidR="00DB49CA">
        <w:t>Wir haben sowohl im zweiten Quartal als auch im ersten Halbjahr neue Spitzenwerte bei Absatz, Umsatz und Ergebnis erzielt. Die</w:t>
      </w:r>
      <w:r w:rsidR="00E21A18">
        <w:t xml:space="preserve"> weltweit hohe Nachfrage nach Fahrzeugen der Ma</w:t>
      </w:r>
      <w:r w:rsidR="0099544B">
        <w:t>rken BMW, MINI und Rolls-Royce</w:t>
      </w:r>
      <w:r w:rsidR="000D4544">
        <w:t xml:space="preserve"> </w:t>
      </w:r>
      <w:r w:rsidR="0099544B">
        <w:t>sowie deutliche Effizienzve</w:t>
      </w:r>
      <w:r w:rsidR="005E3FB5">
        <w:t xml:space="preserve">rbesserungen </w:t>
      </w:r>
      <w:r w:rsidR="00E36BFC">
        <w:t xml:space="preserve">in allen Bereichen des Unternehmens </w:t>
      </w:r>
      <w:r w:rsidR="00174640">
        <w:rPr>
          <w:rFonts w:ascii="BMWTypeLight" w:hAnsi="BMWTypeLight"/>
          <w:szCs w:val="22"/>
        </w:rPr>
        <w:t>ha</w:t>
      </w:r>
      <w:r w:rsidR="004A333D">
        <w:rPr>
          <w:rFonts w:ascii="BMWTypeLight" w:hAnsi="BMWTypeLight"/>
          <w:szCs w:val="22"/>
        </w:rPr>
        <w:t xml:space="preserve">ben wesentlich zu der </w:t>
      </w:r>
      <w:r w:rsidR="0099544B">
        <w:rPr>
          <w:rFonts w:ascii="BMWTypeLight" w:hAnsi="BMWTypeLight"/>
          <w:szCs w:val="22"/>
        </w:rPr>
        <w:t>hervorragenden</w:t>
      </w:r>
      <w:r w:rsidR="00174640">
        <w:rPr>
          <w:rFonts w:ascii="BMWTypeLight" w:hAnsi="BMWTypeLight"/>
          <w:szCs w:val="22"/>
        </w:rPr>
        <w:t xml:space="preserve"> Geschäftsentwicklung beigetragen</w:t>
      </w:r>
      <w:r w:rsidR="00846A76">
        <w:t>“, sagte der Vorsitzende des Vorstands der BMW AG</w:t>
      </w:r>
      <w:r w:rsidR="00C226EE">
        <w:t>, Norbert Reithofer, am Dienstag</w:t>
      </w:r>
      <w:r w:rsidR="00846A76">
        <w:t xml:space="preserve"> in München.</w:t>
      </w:r>
      <w:r w:rsidR="00846A76" w:rsidRPr="009F5558">
        <w:rPr>
          <w:rFonts w:ascii="BMWTypeLight" w:hAnsi="BMWTypeLight"/>
          <w:szCs w:val="22"/>
        </w:rPr>
        <w:t xml:space="preserve"> </w:t>
      </w:r>
    </w:p>
    <w:p w:rsidR="00380BE7" w:rsidRDefault="00380BE7" w:rsidP="001E49DB">
      <w:pPr>
        <w:spacing w:line="360" w:lineRule="auto"/>
      </w:pPr>
    </w:p>
    <w:p w:rsidR="00EA49BA" w:rsidRPr="00E7721D" w:rsidRDefault="00224335" w:rsidP="00E7721D">
      <w:pPr>
        <w:tabs>
          <w:tab w:val="clear" w:pos="454"/>
          <w:tab w:val="clear" w:pos="4706"/>
        </w:tabs>
        <w:spacing w:line="240" w:lineRule="auto"/>
        <w:rPr>
          <w:b/>
        </w:rPr>
      </w:pPr>
      <w:r>
        <w:rPr>
          <w:b/>
          <w:bCs/>
        </w:rPr>
        <w:t xml:space="preserve">Segment Automobile mit </w:t>
      </w:r>
      <w:r w:rsidR="000A4DB6">
        <w:rPr>
          <w:b/>
          <w:bCs/>
        </w:rPr>
        <w:t>Ergebnissprung im zweiten Quartal</w:t>
      </w:r>
    </w:p>
    <w:p w:rsidR="00EA49BA" w:rsidRPr="001E49DB" w:rsidRDefault="00EA49BA" w:rsidP="001E49DB">
      <w:pPr>
        <w:pStyle w:val="Fliesstext"/>
        <w:outlineLvl w:val="0"/>
        <w:rPr>
          <w:b/>
          <w:bCs/>
        </w:rPr>
      </w:pPr>
    </w:p>
    <w:p w:rsidR="003A00EF" w:rsidRDefault="00C56988" w:rsidP="001E49DB">
      <w:pPr>
        <w:spacing w:line="360" w:lineRule="auto"/>
      </w:pPr>
      <w:r>
        <w:t>Alle</w:t>
      </w:r>
      <w:r w:rsidR="00565524">
        <w:t xml:space="preserve"> drei Konzernmarken </w:t>
      </w:r>
      <w:r>
        <w:t xml:space="preserve">konnten ihren Absatz im Segment Automobile </w:t>
      </w:r>
      <w:r w:rsidR="005E3FB5">
        <w:t xml:space="preserve">sowohl </w:t>
      </w:r>
      <w:r w:rsidR="000A4DB6">
        <w:t xml:space="preserve">von April bis Juni 2011 </w:t>
      </w:r>
      <w:r w:rsidR="005E3FB5">
        <w:t xml:space="preserve">als auch </w:t>
      </w:r>
      <w:r w:rsidR="00361E72">
        <w:t xml:space="preserve">im ersten Halbjahr </w:t>
      </w:r>
      <w:r w:rsidR="006845C3">
        <w:t>auf neue Höchstw</w:t>
      </w:r>
      <w:r w:rsidR="001B5495">
        <w:t xml:space="preserve">erte </w:t>
      </w:r>
      <w:r>
        <w:t>steigern</w:t>
      </w:r>
      <w:r w:rsidR="002962BB">
        <w:t xml:space="preserve">. </w:t>
      </w:r>
      <w:r w:rsidR="0053469C">
        <w:t xml:space="preserve">Dementsprechend legte der Umsatz </w:t>
      </w:r>
      <w:r w:rsidR="000A4DB6">
        <w:t>im zweiten</w:t>
      </w:r>
      <w:r w:rsidR="001B5495">
        <w:t xml:space="preserve"> Quartal </w:t>
      </w:r>
      <w:r w:rsidR="000A4DB6">
        <w:t>um 22,0% auf 16.674 (Vj. 13.669</w:t>
      </w:r>
      <w:r w:rsidR="001E49DB">
        <w:t>) Mio. Euro zu.</w:t>
      </w:r>
      <w:r w:rsidR="001B5495">
        <w:t xml:space="preserve"> Das EBIT </w:t>
      </w:r>
      <w:r w:rsidR="001E49DB">
        <w:t xml:space="preserve">erhöhte sich </w:t>
      </w:r>
      <w:r w:rsidR="0053469C">
        <w:t xml:space="preserve">deutlich </w:t>
      </w:r>
      <w:r w:rsidR="000A4DB6">
        <w:t>um 82,8% auf 2.408 (Vj. 1.317</w:t>
      </w:r>
      <w:r w:rsidR="001E49DB">
        <w:t>) Mio. Euro</w:t>
      </w:r>
      <w:r w:rsidR="005E212A">
        <w:t xml:space="preserve">. </w:t>
      </w:r>
      <w:r w:rsidR="008C2DD6">
        <w:t>Darin enthalten ist ein positiver Sondereffekt von 85 Mio. Euro</w:t>
      </w:r>
      <w:r w:rsidR="00E36BFC">
        <w:t xml:space="preserve"> aufgrund der Auflösung von Risikovorsorge infolge der deutlichen Erholung der Gebrauchtwagenmärkte</w:t>
      </w:r>
      <w:r w:rsidR="008C2DD6">
        <w:t xml:space="preserve">. </w:t>
      </w:r>
      <w:r w:rsidR="005E212A">
        <w:t xml:space="preserve">Die EBIT-Marge </w:t>
      </w:r>
      <w:r w:rsidR="008C2DD6">
        <w:t xml:space="preserve">im Segment Automobile </w:t>
      </w:r>
      <w:r w:rsidR="00D67A17">
        <w:t>beläu</w:t>
      </w:r>
      <w:r w:rsidR="001B5495">
        <w:t xml:space="preserve">ft sich </w:t>
      </w:r>
      <w:r w:rsidR="000A4DB6">
        <w:t>auf 14,4</w:t>
      </w:r>
      <w:r w:rsidR="00D67A17">
        <w:t>%. Das Segmente</w:t>
      </w:r>
      <w:r w:rsidR="006845C3">
        <w:t xml:space="preserve">rgebnis vor Steuern </w:t>
      </w:r>
      <w:r w:rsidR="00391659">
        <w:t xml:space="preserve">verbesserte sich </w:t>
      </w:r>
      <w:r w:rsidR="000A4DB6">
        <w:t>auf 2.297 (Vj. 938</w:t>
      </w:r>
      <w:r w:rsidR="001E49DB">
        <w:t>) Mio. Euro</w:t>
      </w:r>
      <w:r w:rsidR="003A00EF">
        <w:t>.</w:t>
      </w:r>
    </w:p>
    <w:p w:rsidR="003A00EF" w:rsidRDefault="003A00EF" w:rsidP="001E49DB">
      <w:pPr>
        <w:spacing w:line="360" w:lineRule="auto"/>
      </w:pPr>
    </w:p>
    <w:p w:rsidR="00B15AB8" w:rsidRPr="00B15AB8" w:rsidRDefault="003A00EF" w:rsidP="00B15AB8">
      <w:pPr>
        <w:spacing w:line="360" w:lineRule="auto"/>
      </w:pPr>
      <w:r>
        <w:t xml:space="preserve">Im ersten Halbjahr stieg der Umsatz im Segment Automobile um 27,6% auf 31.047 (Vj. </w:t>
      </w:r>
      <w:r w:rsidR="005E3FB5">
        <w:t>24.341) Mio. Euro. Das EBIT erhöhte</w:t>
      </w:r>
      <w:r w:rsidR="00C136FF">
        <w:t xml:space="preserve"> sich signifikant</w:t>
      </w:r>
      <w:r>
        <w:t xml:space="preserve"> auf 4.116</w:t>
      </w:r>
      <w:r w:rsidR="00C136FF">
        <w:t xml:space="preserve"> (Vj. 1.608) Mio. Euro, womit die EBIT-Marge in den ersten sechs Monaten 13,3% beträgt</w:t>
      </w:r>
      <w:r>
        <w:t xml:space="preserve">. Das Segmentergebnis vor Steuern verbesserte sich auf 3.902 (Vj. 1.158) Mio. Euro.  </w:t>
      </w:r>
      <w:r w:rsidR="00B15AB8" w:rsidRPr="00B15AB8">
        <w:rPr>
          <w:rFonts w:ascii="BMWTypeLight" w:hAnsi="BMWTypeLight"/>
          <w:szCs w:val="22"/>
        </w:rPr>
        <w:t>Der Free Cashflow bet</w:t>
      </w:r>
      <w:r w:rsidR="00C36526">
        <w:rPr>
          <w:rFonts w:ascii="BMWTypeLight" w:hAnsi="BMWTypeLight"/>
          <w:szCs w:val="22"/>
        </w:rPr>
        <w:t xml:space="preserve">rug im ersten Halbjahr 2.573 </w:t>
      </w:r>
      <w:r w:rsidR="00C47640">
        <w:rPr>
          <w:rFonts w:ascii="BMWTypeLight" w:hAnsi="BMWTypeLight"/>
          <w:szCs w:val="22"/>
        </w:rPr>
        <w:t>(</w:t>
      </w:r>
      <w:r w:rsidR="00C36526">
        <w:rPr>
          <w:rFonts w:ascii="BMWTypeLight" w:hAnsi="BMWTypeLight"/>
          <w:szCs w:val="22"/>
        </w:rPr>
        <w:t xml:space="preserve">Vj. 1.199) </w:t>
      </w:r>
      <w:r w:rsidR="00E57284">
        <w:rPr>
          <w:rFonts w:ascii="BMWTypeLight" w:hAnsi="BMWTypeLight"/>
          <w:szCs w:val="22"/>
        </w:rPr>
        <w:t>Mio</w:t>
      </w:r>
      <w:r w:rsidR="00B15AB8" w:rsidRPr="00B15AB8">
        <w:rPr>
          <w:rFonts w:ascii="BMWTypeLight" w:hAnsi="BMWTypeLight"/>
          <w:szCs w:val="22"/>
        </w:rPr>
        <w:t xml:space="preserve">. Euro und lag </w:t>
      </w:r>
      <w:r w:rsidR="00E57284">
        <w:rPr>
          <w:rFonts w:ascii="BMWTypeLight" w:hAnsi="BMWTypeLight"/>
          <w:szCs w:val="22"/>
        </w:rPr>
        <w:t xml:space="preserve">im zweiten Quartal </w:t>
      </w:r>
      <w:r w:rsidR="00C47640">
        <w:rPr>
          <w:rFonts w:ascii="BMWTypeLight" w:hAnsi="BMWTypeLight"/>
          <w:szCs w:val="22"/>
        </w:rPr>
        <w:t>bei 949  Mio. Euro (Vj.</w:t>
      </w:r>
      <w:r w:rsidR="00B15AB8" w:rsidRPr="00B15AB8">
        <w:rPr>
          <w:rFonts w:ascii="BMWTypeLight" w:hAnsi="BMWTypeLight"/>
          <w:szCs w:val="22"/>
        </w:rPr>
        <w:t xml:space="preserve"> 1.505 Mio. Euro). Bereinigt um die Zuführung von Eigenkapital (625 Mio. Euro) im Segme</w:t>
      </w:r>
      <w:r w:rsidR="00E57284">
        <w:rPr>
          <w:rFonts w:ascii="BMWTypeLight" w:hAnsi="BMWTypeLight"/>
          <w:szCs w:val="22"/>
        </w:rPr>
        <w:t xml:space="preserve">nt Finanzdienstleistungen beläuft sich </w:t>
      </w:r>
      <w:r w:rsidR="00B15AB8" w:rsidRPr="00B15AB8">
        <w:rPr>
          <w:rFonts w:ascii="BMWTypeLight" w:hAnsi="BMWTypeLight"/>
          <w:szCs w:val="22"/>
        </w:rPr>
        <w:t>der Free Cashflow im zweiten Quartal</w:t>
      </w:r>
      <w:r w:rsidR="00E57284">
        <w:rPr>
          <w:rFonts w:ascii="BMWTypeLight" w:hAnsi="BMWTypeLight"/>
          <w:szCs w:val="22"/>
        </w:rPr>
        <w:t xml:space="preserve"> auf</w:t>
      </w:r>
      <w:r w:rsidR="00B15AB8" w:rsidRPr="00B15AB8">
        <w:rPr>
          <w:rFonts w:ascii="BMWTypeLight" w:hAnsi="BMWTypeLight"/>
          <w:szCs w:val="22"/>
        </w:rPr>
        <w:t xml:space="preserve"> 1.574 Mio. Euro bzw. </w:t>
      </w:r>
      <w:r w:rsidR="00E57284">
        <w:rPr>
          <w:rFonts w:ascii="BMWTypeLight" w:hAnsi="BMWTypeLight"/>
          <w:szCs w:val="22"/>
        </w:rPr>
        <w:t xml:space="preserve">auf </w:t>
      </w:r>
      <w:r w:rsidR="001C431F">
        <w:rPr>
          <w:rFonts w:ascii="BMWTypeLight" w:hAnsi="BMWTypeLight"/>
          <w:szCs w:val="22"/>
        </w:rPr>
        <w:t>3.198 Mio</w:t>
      </w:r>
      <w:r w:rsidR="00B15AB8" w:rsidRPr="00B15AB8">
        <w:rPr>
          <w:rFonts w:ascii="BMWTypeLight" w:hAnsi="BMWTypeLight"/>
          <w:szCs w:val="22"/>
        </w:rPr>
        <w:t>. Euro i</w:t>
      </w:r>
      <w:r w:rsidR="00C47640">
        <w:rPr>
          <w:rFonts w:ascii="BMWTypeLight" w:hAnsi="BMWTypeLight"/>
          <w:szCs w:val="22"/>
        </w:rPr>
        <w:t>n den ersten sechs Monaten</w:t>
      </w:r>
      <w:r w:rsidR="00B15AB8" w:rsidRPr="00B15AB8">
        <w:rPr>
          <w:rFonts w:ascii="BMWTypeLight" w:hAnsi="BMWTypeLight"/>
          <w:szCs w:val="22"/>
        </w:rPr>
        <w:t xml:space="preserve">. </w:t>
      </w:r>
    </w:p>
    <w:p w:rsidR="003A00EF" w:rsidRDefault="003A00EF" w:rsidP="001E49DB">
      <w:pPr>
        <w:spacing w:line="360" w:lineRule="auto"/>
      </w:pPr>
    </w:p>
    <w:p w:rsidR="00C136FF" w:rsidRDefault="00446F17" w:rsidP="001E49DB">
      <w:pPr>
        <w:spacing w:line="360" w:lineRule="auto"/>
      </w:pPr>
      <w:r>
        <w:t xml:space="preserve">Der Absatz der Marke BMW erhöhte sich </w:t>
      </w:r>
      <w:r w:rsidR="005E212A">
        <w:t>im zweiten</w:t>
      </w:r>
      <w:r w:rsidR="00F54125">
        <w:t xml:space="preserve"> Quartal u</w:t>
      </w:r>
      <w:r w:rsidR="005E212A">
        <w:t xml:space="preserve">m </w:t>
      </w:r>
      <w:r w:rsidR="003A00EF">
        <w:t>15,2% auf 368.686</w:t>
      </w:r>
      <w:r w:rsidR="0047225E">
        <w:t xml:space="preserve"> (Vj. 319.946</w:t>
      </w:r>
      <w:r w:rsidR="001E49DB" w:rsidRPr="00D768A3">
        <w:t xml:space="preserve">) Fahrzeuge. </w:t>
      </w:r>
      <w:r w:rsidR="00361E72">
        <w:t>In den ersten sechs Monaten stiegen die Auslieferungen der Kernmarke um 17,8% auf 689.861 (Vj. 585.755) Einheiten.</w:t>
      </w:r>
    </w:p>
    <w:p w:rsidR="00361E72" w:rsidRDefault="00361E72" w:rsidP="001E49DB">
      <w:pPr>
        <w:spacing w:line="360" w:lineRule="auto"/>
      </w:pPr>
      <w:r>
        <w:t xml:space="preserve"> </w:t>
      </w:r>
    </w:p>
    <w:p w:rsidR="00361E72" w:rsidRDefault="001E49DB" w:rsidP="001E49DB">
      <w:pPr>
        <w:spacing w:line="360" w:lineRule="auto"/>
      </w:pPr>
      <w:r w:rsidRPr="00D768A3">
        <w:t>Deutliche Zuwächs</w:t>
      </w:r>
      <w:r w:rsidR="00BD233F">
        <w:t xml:space="preserve">e konnte </w:t>
      </w:r>
      <w:r w:rsidR="005E3FB5">
        <w:t xml:space="preserve">weiterhin </w:t>
      </w:r>
      <w:r w:rsidR="00361E72">
        <w:t xml:space="preserve">der BMW X1 verbuchen, der seinen Absatz </w:t>
      </w:r>
      <w:r w:rsidR="0047225E">
        <w:t xml:space="preserve">im ersten Halbjahr </w:t>
      </w:r>
      <w:r w:rsidR="00361E72">
        <w:t>um 34,2% auf 6</w:t>
      </w:r>
      <w:r w:rsidR="005E3FB5">
        <w:t>2.698 (Vj. 46.705) Automobile steigern konnte</w:t>
      </w:r>
      <w:r w:rsidR="00D24B1B">
        <w:t xml:space="preserve">. </w:t>
      </w:r>
      <w:r w:rsidR="005E3FB5">
        <w:t xml:space="preserve">Auf eine sehr positive Resonanz </w:t>
      </w:r>
      <w:r w:rsidR="00115F41">
        <w:t xml:space="preserve">bei den Kunden stößt </w:t>
      </w:r>
      <w:r w:rsidR="00D24B1B">
        <w:t>auch der neue BMW X3, dessen Auslieferungen sich im Berichtszeitraum mit 53.522 (Vj. 24.84</w:t>
      </w:r>
      <w:r w:rsidR="00C136FF">
        <w:t>1/+115,5</w:t>
      </w:r>
      <w:r w:rsidR="00D24B1B">
        <w:t>%) Fahrzeugen we</w:t>
      </w:r>
      <w:r w:rsidR="005B2909">
        <w:t>ltweit mehr als verdoppelt haben</w:t>
      </w:r>
      <w:r w:rsidR="00D24B1B">
        <w:t xml:space="preserve">. Der BMW </w:t>
      </w:r>
      <w:r w:rsidR="00D24B1B">
        <w:lastRenderedPageBreak/>
        <w:t>X5 legte um 4,9% auf 48.749 (46.459) Automobile zu</w:t>
      </w:r>
      <w:r w:rsidR="00B533C3">
        <w:t xml:space="preserve"> und ist d</w:t>
      </w:r>
      <w:r w:rsidR="00115F41">
        <w:t xml:space="preserve">amit weiterhin </w:t>
      </w:r>
      <w:r w:rsidR="002A1E6E">
        <w:t xml:space="preserve">weltweit </w:t>
      </w:r>
      <w:r w:rsidR="00115F41">
        <w:t>Marktführer</w:t>
      </w:r>
      <w:r w:rsidR="00ED7A7C">
        <w:t xml:space="preserve"> in seinem </w:t>
      </w:r>
      <w:r w:rsidR="00C53CE9">
        <w:t>Segment</w:t>
      </w:r>
      <w:r w:rsidR="00D24B1B">
        <w:t xml:space="preserve">. </w:t>
      </w:r>
    </w:p>
    <w:p w:rsidR="00D24B1B" w:rsidRDefault="00D24B1B" w:rsidP="001E49DB">
      <w:pPr>
        <w:spacing w:line="360" w:lineRule="auto"/>
      </w:pPr>
    </w:p>
    <w:p w:rsidR="00BD233F" w:rsidRDefault="002A1E6E" w:rsidP="001E49DB">
      <w:pPr>
        <w:spacing w:line="360" w:lineRule="auto"/>
      </w:pPr>
      <w:r>
        <w:t>Dies gilt auch für den neuen BMW 5er</w:t>
      </w:r>
      <w:r w:rsidR="00D24B1B">
        <w:t>. Insgesamt wurden in den ersten sechs Monaten 170.708 (Vj. 94.699) Einheiten ausgeliefert, was einem Plus von 80,3% entspricht.</w:t>
      </w:r>
      <w:r w:rsidR="0077229B">
        <w:t xml:space="preserve"> </w:t>
      </w:r>
      <w:r w:rsidR="00A62140">
        <w:t>Der BM</w:t>
      </w:r>
      <w:r w:rsidR="00524167">
        <w:t>W 6er legte um 4,1% auf 3.213 (V</w:t>
      </w:r>
      <w:r w:rsidR="00A62140">
        <w:t xml:space="preserve">j. 3.085) Fahrzeuge zu. </w:t>
      </w:r>
      <w:r w:rsidR="00B2722F" w:rsidRPr="009C1D39">
        <w:t>Nac</w:t>
      </w:r>
      <w:r w:rsidR="00B2722F">
        <w:t xml:space="preserve">hdem im Frühjahr bereits das neue </w:t>
      </w:r>
      <w:r w:rsidR="003D296A">
        <w:t xml:space="preserve">BMW 6er Cabrio erfolgreich </w:t>
      </w:r>
      <w:r w:rsidR="00B2722F">
        <w:t xml:space="preserve">gestartet ist, wird im Herbst </w:t>
      </w:r>
      <w:r w:rsidR="00B2722F" w:rsidRPr="009C1D39">
        <w:t>das neue 6er Coup</w:t>
      </w:r>
      <w:r w:rsidR="00B2722F">
        <w:t>é folgen</w:t>
      </w:r>
      <w:r w:rsidR="00B2722F" w:rsidRPr="009C1D39">
        <w:t xml:space="preserve">. </w:t>
      </w:r>
      <w:r w:rsidR="0077229B">
        <w:t xml:space="preserve">Auf der Erfolgsspur </w:t>
      </w:r>
      <w:r w:rsidR="000D4544">
        <w:t xml:space="preserve">ist </w:t>
      </w:r>
      <w:r w:rsidR="0077229B">
        <w:t xml:space="preserve">auch </w:t>
      </w:r>
      <w:r w:rsidR="000D4544">
        <w:t xml:space="preserve">weiterhin der BMW 7er. </w:t>
      </w:r>
      <w:r w:rsidR="00BD233F">
        <w:t>Die Ausli</w:t>
      </w:r>
      <w:r w:rsidR="00947310">
        <w:t xml:space="preserve">eferungen des </w:t>
      </w:r>
      <w:r w:rsidR="00C136FF">
        <w:t xml:space="preserve">BMW </w:t>
      </w:r>
      <w:r w:rsidR="00A62140">
        <w:t>Flaggschiffs stiegen</w:t>
      </w:r>
      <w:r w:rsidR="00B533C3">
        <w:t xml:space="preserve"> im ersten Halbjahr </w:t>
      </w:r>
      <w:r w:rsidR="00D24B1B">
        <w:t>auf 31.764</w:t>
      </w:r>
      <w:r w:rsidR="00BD233F">
        <w:t xml:space="preserve"> </w:t>
      </w:r>
      <w:r w:rsidR="00D24B1B">
        <w:t>(Vj. 30.711</w:t>
      </w:r>
      <w:r w:rsidR="00B533C3">
        <w:t>/+3,4%</w:t>
      </w:r>
      <w:r w:rsidR="006D137C">
        <w:t xml:space="preserve">) </w:t>
      </w:r>
      <w:r w:rsidR="00B533C3">
        <w:t>Automobile</w:t>
      </w:r>
      <w:r w:rsidR="00BD233F">
        <w:t>.</w:t>
      </w:r>
    </w:p>
    <w:p w:rsidR="000F5916" w:rsidRDefault="000F5916" w:rsidP="001E49DB">
      <w:pPr>
        <w:spacing w:line="360" w:lineRule="auto"/>
      </w:pPr>
    </w:p>
    <w:p w:rsidR="000F5916" w:rsidRDefault="00AE6A3D" w:rsidP="001E49DB">
      <w:pPr>
        <w:spacing w:line="360" w:lineRule="auto"/>
      </w:pPr>
      <w:r>
        <w:t xml:space="preserve">Am Ende seines Produktlebenszyklus liegt der BMW </w:t>
      </w:r>
      <w:r w:rsidR="00DE6E4E">
        <w:t xml:space="preserve">1er </w:t>
      </w:r>
      <w:r>
        <w:t xml:space="preserve">mit 94.454 (Vj. 103.819) Einheiten erwartungsgemäß unter dem Niveau des Vorjahres. </w:t>
      </w:r>
      <w:r w:rsidR="00B2722F">
        <w:t>D</w:t>
      </w:r>
      <w:r w:rsidR="00B2722F" w:rsidRPr="009C1D39">
        <w:t xml:space="preserve">ie neue BMW 1er Reihe </w:t>
      </w:r>
      <w:r w:rsidR="00B2722F">
        <w:t xml:space="preserve">wird </w:t>
      </w:r>
      <w:r w:rsidR="00B2722F" w:rsidRPr="009C1D39">
        <w:t xml:space="preserve">Mitte September </w:t>
      </w:r>
      <w:r w:rsidR="00B2722F">
        <w:t xml:space="preserve">an den </w:t>
      </w:r>
      <w:r w:rsidR="00B2722F" w:rsidRPr="009C1D39">
        <w:t xml:space="preserve">Start gehen. </w:t>
      </w:r>
      <w:r>
        <w:t xml:space="preserve">Von der BMW 3er Reihe wurden </w:t>
      </w:r>
      <w:r w:rsidR="00DE6E4E">
        <w:t xml:space="preserve">im ersten Halbjahr </w:t>
      </w:r>
      <w:r>
        <w:t>192.927 (Vj. 199.027) Fahrzeuge verkauft.</w:t>
      </w:r>
    </w:p>
    <w:p w:rsidR="00BD233F" w:rsidRDefault="00BD233F" w:rsidP="001E49DB">
      <w:pPr>
        <w:spacing w:line="360" w:lineRule="auto"/>
      </w:pPr>
    </w:p>
    <w:p w:rsidR="00974C4C" w:rsidRDefault="00F84711" w:rsidP="001E49DB">
      <w:pPr>
        <w:spacing w:line="360" w:lineRule="auto"/>
      </w:pPr>
      <w:r>
        <w:t xml:space="preserve">Einen neuen Höchstwert beim Absatz hat auch die </w:t>
      </w:r>
      <w:r w:rsidR="00B533C3">
        <w:t>Marke MINI</w:t>
      </w:r>
      <w:r>
        <w:t xml:space="preserve"> erzielt, </w:t>
      </w:r>
      <w:r w:rsidR="00344D9E">
        <w:t xml:space="preserve">deren Auslieferungen im zweiten Quartal um </w:t>
      </w:r>
      <w:r w:rsidR="0047225E">
        <w:t>35,</w:t>
      </w:r>
      <w:r>
        <w:t>6% auf 81.053 Fahrzeuge zugelegt haben</w:t>
      </w:r>
      <w:r w:rsidR="00C70D11">
        <w:t>.</w:t>
      </w:r>
      <w:r w:rsidR="001E49DB">
        <w:t xml:space="preserve"> </w:t>
      </w:r>
      <w:r w:rsidR="0047225E">
        <w:t>I</w:t>
      </w:r>
      <w:r w:rsidR="00B533C3">
        <w:t xml:space="preserve">n den ersten sechs Monaten </w:t>
      </w:r>
      <w:r w:rsidR="0047225E">
        <w:t xml:space="preserve">wurden insgesamt </w:t>
      </w:r>
      <w:r w:rsidR="00B533C3">
        <w:t>141.913</w:t>
      </w:r>
      <w:r w:rsidR="0047225E">
        <w:t xml:space="preserve"> (Vj. 109.301) Einheiten abgesetzt</w:t>
      </w:r>
      <w:r w:rsidR="00C70D11">
        <w:t xml:space="preserve">. </w:t>
      </w:r>
      <w:r w:rsidR="00B533C3">
        <w:t xml:space="preserve">Dies ist ein </w:t>
      </w:r>
      <w:r>
        <w:t xml:space="preserve">deutlicher </w:t>
      </w:r>
      <w:r w:rsidR="00B533C3">
        <w:t xml:space="preserve">Zuwachs von 29,8%. </w:t>
      </w:r>
      <w:r w:rsidR="00344D9E">
        <w:t xml:space="preserve">Der Modellmix blieb auch im ersten Halbjahr sehr hochwertig. </w:t>
      </w:r>
      <w:r w:rsidR="00C53CE9">
        <w:t xml:space="preserve">Mit 48,3% entschieden sich </w:t>
      </w:r>
      <w:r w:rsidR="008C6A98">
        <w:t>n</w:t>
      </w:r>
      <w:r w:rsidR="00344D9E">
        <w:t xml:space="preserve">ahezu die Hälfte der </w:t>
      </w:r>
      <w:r w:rsidR="00C53CE9">
        <w:t xml:space="preserve">Kunden </w:t>
      </w:r>
      <w:r w:rsidR="00344D9E">
        <w:t xml:space="preserve">für einen MINI Cooper, 31,7% für einen Cooper S und 20,0% für einen MINI </w:t>
      </w:r>
      <w:proofErr w:type="spellStart"/>
      <w:r w:rsidR="00344D9E">
        <w:t>One</w:t>
      </w:r>
      <w:proofErr w:type="spellEnd"/>
      <w:r w:rsidR="00344D9E">
        <w:t>. S</w:t>
      </w:r>
      <w:r w:rsidR="00D3699D">
        <w:t xml:space="preserve">ehr beliebt </w:t>
      </w:r>
      <w:r w:rsidR="00344D9E">
        <w:t xml:space="preserve">bei den Kunden ist weiterhin </w:t>
      </w:r>
      <w:r w:rsidR="00354DFD">
        <w:t xml:space="preserve">der </w:t>
      </w:r>
      <w:r w:rsidR="00C70D11">
        <w:t xml:space="preserve">MINI </w:t>
      </w:r>
      <w:r w:rsidR="00344D9E">
        <w:t xml:space="preserve">Countryman, von dem 40.171 Einheiten </w:t>
      </w:r>
      <w:r w:rsidR="00354DFD">
        <w:t>ausgeliefert</w:t>
      </w:r>
      <w:r w:rsidR="00D3699D">
        <w:t xml:space="preserve"> wurde</w:t>
      </w:r>
      <w:r w:rsidR="00344D9E">
        <w:t>n</w:t>
      </w:r>
      <w:r w:rsidR="00B2722F">
        <w:t>. Im Herbst wird mit dem MINI Coupé die fünfte Modellvariante auf den Markt kommen.</w:t>
      </w:r>
    </w:p>
    <w:p w:rsidR="00D3699D" w:rsidRPr="005E36FA" w:rsidRDefault="00D3699D" w:rsidP="001E49DB">
      <w:pPr>
        <w:spacing w:line="360" w:lineRule="auto"/>
      </w:pPr>
    </w:p>
    <w:p w:rsidR="00F741B4" w:rsidRDefault="004E0806" w:rsidP="001E49DB">
      <w:pPr>
        <w:spacing w:line="360" w:lineRule="auto"/>
      </w:pPr>
      <w:r>
        <w:t>Rolls-Royce ist mit neuen Spitzenwerten beim Absatz ebenfalls weiter auf Erfolgskurs</w:t>
      </w:r>
      <w:r w:rsidR="00D3699D">
        <w:t>. Weltweit</w:t>
      </w:r>
      <w:r w:rsidR="00F741B4">
        <w:t xml:space="preserve"> wurden </w:t>
      </w:r>
      <w:r w:rsidR="0065271A">
        <w:t xml:space="preserve">im zweiten Quartal </w:t>
      </w:r>
      <w:r w:rsidR="00F741B4">
        <w:t>869 (Vj. 691/+25,8%</w:t>
      </w:r>
      <w:r w:rsidR="00D3699D">
        <w:t xml:space="preserve">) </w:t>
      </w:r>
      <w:r w:rsidR="00F741B4">
        <w:t xml:space="preserve">Automobile </w:t>
      </w:r>
      <w:r w:rsidR="00ED6BED">
        <w:t xml:space="preserve">ausgeliefert. </w:t>
      </w:r>
      <w:r w:rsidR="00F741B4">
        <w:t>Im ersten Halbjahr erhöhten sich die Verkäufe um 64,1% auf 1.592 (Vj. 970) Fahrzeuge.</w:t>
      </w:r>
    </w:p>
    <w:p w:rsidR="00F741B4" w:rsidRDefault="00F741B4" w:rsidP="001E49DB">
      <w:pPr>
        <w:spacing w:line="360" w:lineRule="auto"/>
      </w:pPr>
    </w:p>
    <w:p w:rsidR="007A0258" w:rsidRDefault="004E0806" w:rsidP="001E49DB">
      <w:pPr>
        <w:spacing w:line="360" w:lineRule="auto"/>
      </w:pPr>
      <w:r>
        <w:lastRenderedPageBreak/>
        <w:t xml:space="preserve">In nahezu allen Regionen der Welt </w:t>
      </w:r>
      <w:r w:rsidR="00B27897">
        <w:t xml:space="preserve">konnte </w:t>
      </w:r>
      <w:r>
        <w:t xml:space="preserve">die BMW Group </w:t>
      </w:r>
      <w:r w:rsidR="00A24CD5">
        <w:t>im ersten Halbjahr</w:t>
      </w:r>
      <w:r w:rsidR="007A0258">
        <w:t xml:space="preserve"> </w:t>
      </w:r>
      <w:r w:rsidR="00B27897">
        <w:t>ihre Auslieferungen steigern</w:t>
      </w:r>
      <w:r w:rsidR="00A24CD5">
        <w:t>. In Europa wurden 437.658</w:t>
      </w:r>
      <w:r w:rsidR="007A0258">
        <w:t xml:space="preserve"> Fahrzeuge der Marken BMW, MINI und Rolls-Royce abgesetzt, </w:t>
      </w:r>
      <w:r w:rsidR="00A24CD5">
        <w:t>das entspricht einem Plus von 12,3</w:t>
      </w:r>
      <w:r w:rsidR="003D296A">
        <w:t xml:space="preserve">%. Dabei stiegen in </w:t>
      </w:r>
      <w:r w:rsidR="007A0258">
        <w:t>Deuts</w:t>
      </w:r>
      <w:r w:rsidR="00A24CD5">
        <w:t>chland die Auslieferungen um 9,2% auf 144.370</w:t>
      </w:r>
      <w:r w:rsidR="007A0258">
        <w:t xml:space="preserve"> und in Gro</w:t>
      </w:r>
      <w:r w:rsidR="002C659B">
        <w:t>ßbritannien um 14,3% auf 83.606</w:t>
      </w:r>
      <w:r w:rsidR="009B4C69">
        <w:t xml:space="preserve"> Automobile. </w:t>
      </w:r>
      <w:r w:rsidR="008A200C">
        <w:t xml:space="preserve">Deutschland </w:t>
      </w:r>
      <w:r w:rsidR="003D296A">
        <w:t xml:space="preserve">war damit </w:t>
      </w:r>
      <w:r w:rsidR="008A200C">
        <w:t xml:space="preserve">im ersten Halbjahr der größte Einzelmarkt des Unternehmens. </w:t>
      </w:r>
      <w:r w:rsidR="009B4C69">
        <w:t>Weitere Zuwächse konnten u</w:t>
      </w:r>
      <w:r w:rsidR="002C659B">
        <w:t>nter anderem auch in Ita</w:t>
      </w:r>
      <w:r w:rsidR="000C3F36">
        <w:t xml:space="preserve">lien </w:t>
      </w:r>
      <w:r w:rsidR="00F62894">
        <w:t xml:space="preserve">(38.421 Fahrzeuge/+12,7%) und </w:t>
      </w:r>
      <w:r w:rsidR="002C659B">
        <w:t>Frankreich (35.619 Einheiten/+4,0</w:t>
      </w:r>
      <w:r w:rsidR="009B4C69">
        <w:t>%) verbucht werden.</w:t>
      </w:r>
    </w:p>
    <w:p w:rsidR="007A0258" w:rsidRDefault="007A0258" w:rsidP="001E49DB">
      <w:pPr>
        <w:spacing w:line="360" w:lineRule="auto"/>
      </w:pPr>
    </w:p>
    <w:p w:rsidR="00974C4C" w:rsidRDefault="002C659B" w:rsidP="001E49DB">
      <w:pPr>
        <w:spacing w:line="360" w:lineRule="auto"/>
      </w:pPr>
      <w:r>
        <w:t xml:space="preserve">In Nordamerika wurde in den ersten sechs Monaten mit 160.892 </w:t>
      </w:r>
      <w:r w:rsidR="00A16DB3">
        <w:t>Automobilen der Vorjahres</w:t>
      </w:r>
      <w:r>
        <w:t>wert um 17,5% übertroffen</w:t>
      </w:r>
      <w:r w:rsidR="00A16DB3">
        <w:t xml:space="preserve">. </w:t>
      </w:r>
      <w:r w:rsidR="009B4C69">
        <w:t xml:space="preserve">In </w:t>
      </w:r>
      <w:r w:rsidR="001E49DB">
        <w:t xml:space="preserve">den </w:t>
      </w:r>
      <w:r w:rsidR="001E49DB" w:rsidRPr="00BD52B2">
        <w:t>USA</w:t>
      </w:r>
      <w:r w:rsidR="00A16DB3">
        <w:t xml:space="preserve"> st</w:t>
      </w:r>
      <w:r>
        <w:t xml:space="preserve">iegen die Auslieferungen um 18,1% </w:t>
      </w:r>
      <w:r w:rsidR="008A200C">
        <w:t xml:space="preserve">auf 143.974 Fahrzeuge. </w:t>
      </w:r>
    </w:p>
    <w:p w:rsidR="00AE6A3D" w:rsidRPr="00BD52B2" w:rsidRDefault="00AE6A3D" w:rsidP="001E49DB">
      <w:pPr>
        <w:spacing w:line="360" w:lineRule="auto"/>
      </w:pPr>
    </w:p>
    <w:p w:rsidR="00974C4C" w:rsidRDefault="001E49DB" w:rsidP="001E49DB">
      <w:pPr>
        <w:spacing w:line="360" w:lineRule="auto"/>
      </w:pPr>
      <w:r>
        <w:t xml:space="preserve">Deutliche </w:t>
      </w:r>
      <w:r w:rsidR="008A200C">
        <w:t>Zuwächse</w:t>
      </w:r>
      <w:r w:rsidR="00A16DB3">
        <w:t xml:space="preserve"> </w:t>
      </w:r>
      <w:r w:rsidR="008A200C">
        <w:t xml:space="preserve">konnte die BMW Group </w:t>
      </w:r>
      <w:r w:rsidR="00A16DB3">
        <w:t>auch in Asien</w:t>
      </w:r>
      <w:r w:rsidR="008A200C">
        <w:t xml:space="preserve"> verzeichnen</w:t>
      </w:r>
      <w:r w:rsidR="00A16DB3">
        <w:t xml:space="preserve">. Insgesamt wurden dort </w:t>
      </w:r>
      <w:r w:rsidR="008A200C">
        <w:t>im ersten Halbjahr 190.054</w:t>
      </w:r>
      <w:r w:rsidR="00A16DB3">
        <w:t xml:space="preserve"> Einheiten ab</w:t>
      </w:r>
      <w:r w:rsidR="008A200C">
        <w:t xml:space="preserve">gesetzt, das ist ein Plus von 47,4%. In </w:t>
      </w:r>
      <w:r w:rsidR="00A16DB3">
        <w:t xml:space="preserve">China </w:t>
      </w:r>
      <w:r w:rsidR="008A200C">
        <w:t xml:space="preserve">wurden </w:t>
      </w:r>
      <w:r w:rsidR="004B48EF">
        <w:t xml:space="preserve">dabei </w:t>
      </w:r>
      <w:r w:rsidR="008A200C">
        <w:t>122.034 Fahrzeuge (+61,2</w:t>
      </w:r>
      <w:r w:rsidR="00A16DB3">
        <w:t>%)</w:t>
      </w:r>
      <w:r w:rsidR="008A200C">
        <w:t xml:space="preserve"> verkauft</w:t>
      </w:r>
      <w:r w:rsidR="00A16DB3">
        <w:t xml:space="preserve">. </w:t>
      </w:r>
    </w:p>
    <w:p w:rsidR="009C1D39" w:rsidRDefault="009C1D39" w:rsidP="001E49DB">
      <w:pPr>
        <w:spacing w:line="360" w:lineRule="auto"/>
      </w:pPr>
    </w:p>
    <w:p w:rsidR="001E49DB" w:rsidRDefault="001E49DB" w:rsidP="00391659">
      <w:pPr>
        <w:tabs>
          <w:tab w:val="clear" w:pos="454"/>
          <w:tab w:val="clear" w:pos="4706"/>
        </w:tabs>
        <w:spacing w:line="240" w:lineRule="auto"/>
        <w:rPr>
          <w:b/>
          <w:bCs/>
        </w:rPr>
      </w:pPr>
      <w:r>
        <w:rPr>
          <w:b/>
          <w:bCs/>
        </w:rPr>
        <w:t>Motorrad</w:t>
      </w:r>
      <w:r w:rsidR="00C277C9">
        <w:rPr>
          <w:b/>
          <w:bCs/>
        </w:rPr>
        <w:t>seg</w:t>
      </w:r>
      <w:r w:rsidR="00E37667">
        <w:rPr>
          <w:b/>
          <w:bCs/>
        </w:rPr>
        <w:t>ment mit Absatz</w:t>
      </w:r>
      <w:r w:rsidR="00F62894">
        <w:rPr>
          <w:b/>
          <w:bCs/>
        </w:rPr>
        <w:t>z</w:t>
      </w:r>
      <w:r w:rsidR="00E37667">
        <w:rPr>
          <w:b/>
          <w:bCs/>
        </w:rPr>
        <w:t>uwachs im ersten Halbjahr</w:t>
      </w:r>
    </w:p>
    <w:p w:rsidR="001E49DB" w:rsidRPr="00487478" w:rsidRDefault="001E49DB" w:rsidP="001E49DB">
      <w:pPr>
        <w:pStyle w:val="Fliesstext"/>
        <w:outlineLvl w:val="0"/>
        <w:rPr>
          <w:b/>
          <w:bCs/>
        </w:rPr>
      </w:pPr>
    </w:p>
    <w:p w:rsidR="00974C4C" w:rsidRDefault="00C277C9" w:rsidP="001E49DB">
      <w:pPr>
        <w:spacing w:line="360" w:lineRule="auto"/>
      </w:pPr>
      <w:r>
        <w:t>Im Segment Motor</w:t>
      </w:r>
      <w:r w:rsidR="008A200C">
        <w:t>räder stieg der Umsatz im zweiten Quartal um 2,5% auf 450</w:t>
      </w:r>
      <w:r>
        <w:t xml:space="preserve"> (</w:t>
      </w:r>
      <w:r w:rsidR="008671B0">
        <w:t xml:space="preserve">Vj. </w:t>
      </w:r>
      <w:r w:rsidR="008A200C">
        <w:t>439</w:t>
      </w:r>
      <w:r>
        <w:t>) Mio.</w:t>
      </w:r>
      <w:r w:rsidR="009705B2">
        <w:t xml:space="preserve"> E</w:t>
      </w:r>
      <w:r w:rsidR="00484163">
        <w:t>uro. Das EBIT belief sich vor dem Hintergrund d</w:t>
      </w:r>
      <w:r w:rsidR="0065271A">
        <w:t xml:space="preserve">er Neuausrichtung der Husqvarna </w:t>
      </w:r>
      <w:r w:rsidR="00484163">
        <w:t>Gruppe auf 47</w:t>
      </w:r>
      <w:r w:rsidR="009705B2">
        <w:t xml:space="preserve"> (</w:t>
      </w:r>
      <w:r w:rsidR="008671B0">
        <w:t xml:space="preserve">Vj. </w:t>
      </w:r>
      <w:r w:rsidR="00E37667">
        <w:t xml:space="preserve">54) Mio. Euro, </w:t>
      </w:r>
      <w:r w:rsidR="009705B2">
        <w:t>das</w:t>
      </w:r>
      <w:r w:rsidR="00484163">
        <w:t xml:space="preserve"> Ergebnis vor Steuern </w:t>
      </w:r>
      <w:r w:rsidR="00F62894">
        <w:t xml:space="preserve">lag </w:t>
      </w:r>
      <w:r w:rsidR="0065271A">
        <w:t xml:space="preserve">ebenfalls </w:t>
      </w:r>
      <w:r w:rsidR="00F62894">
        <w:t xml:space="preserve">bei </w:t>
      </w:r>
      <w:r w:rsidR="0065271A">
        <w:t>47 (Vj. 53</w:t>
      </w:r>
      <w:r w:rsidR="00484163">
        <w:t>)</w:t>
      </w:r>
      <w:r w:rsidR="005B2909">
        <w:t xml:space="preserve"> Mio. Euro</w:t>
      </w:r>
      <w:r>
        <w:t xml:space="preserve">. </w:t>
      </w:r>
      <w:r w:rsidR="004B48EF">
        <w:t xml:space="preserve">Damit liegt die EBIT-Marge im Segment Motorräder bei 10,4%. </w:t>
      </w:r>
      <w:r>
        <w:t xml:space="preserve">Der Absatz der Marken BMW und Husqvarna </w:t>
      </w:r>
      <w:r w:rsidR="004B48EF">
        <w:t>bewegte sich</w:t>
      </w:r>
      <w:r w:rsidR="00484163">
        <w:t xml:space="preserve"> mit 39.061 (Vj. 39.195) Einheiten nahezu auf Vorjahresniveau</w:t>
      </w:r>
      <w:r>
        <w:t xml:space="preserve">. </w:t>
      </w:r>
      <w:r w:rsidR="00645091">
        <w:t>D</w:t>
      </w:r>
      <w:r w:rsidR="00484163">
        <w:t>abei wurden von der Marke BMW 37.471</w:t>
      </w:r>
      <w:r w:rsidR="00645091">
        <w:t xml:space="preserve"> </w:t>
      </w:r>
      <w:r w:rsidR="00484163">
        <w:t>(Vj. 36.175</w:t>
      </w:r>
      <w:r w:rsidR="008671B0">
        <w:t xml:space="preserve">) </w:t>
      </w:r>
      <w:r w:rsidR="00645091">
        <w:t>u</w:t>
      </w:r>
      <w:r w:rsidR="00484163">
        <w:t>nd von der Marke Husqvarna 1.590</w:t>
      </w:r>
      <w:r w:rsidR="00645091">
        <w:t xml:space="preserve"> </w:t>
      </w:r>
      <w:r w:rsidR="00484163">
        <w:t>(Vj. 3.020</w:t>
      </w:r>
      <w:r w:rsidR="00F62894">
        <w:t>) Motorräder</w:t>
      </w:r>
      <w:r w:rsidR="00645091">
        <w:t xml:space="preserve"> verkauft. </w:t>
      </w:r>
    </w:p>
    <w:p w:rsidR="00484163" w:rsidRDefault="00484163" w:rsidP="001E49DB">
      <w:pPr>
        <w:spacing w:line="360" w:lineRule="auto"/>
      </w:pPr>
    </w:p>
    <w:p w:rsidR="00484163" w:rsidRDefault="00484163" w:rsidP="001E49DB">
      <w:pPr>
        <w:spacing w:line="360" w:lineRule="auto"/>
      </w:pPr>
      <w:r>
        <w:t xml:space="preserve">Im ersten Halbjahr erhöhte sich der Umsatz um 7,2% auf 847 (Vj. 790) Mio. Euro. </w:t>
      </w:r>
      <w:r w:rsidR="00E37667">
        <w:t xml:space="preserve">Das EBIT lag bei 78 (Vj. 86) Mio. Euro und das Ergebnis vor Steuern bei 77 (Vj. 83) Mio. Euro. Die Auslieferungen stiegen um 3,9% auf 64.110 (Vj. </w:t>
      </w:r>
      <w:r w:rsidR="00E37667">
        <w:lastRenderedPageBreak/>
        <w:t>61.674) Einheiten, wovon 60.580 (Vj. 57.015) Motorräder auf die Marke BMW und 3.530 (Vj. 4.659) auf die Marke Husqvarna entfallen.</w:t>
      </w:r>
    </w:p>
    <w:p w:rsidR="00C277C9" w:rsidRPr="009757BA" w:rsidRDefault="00C277C9" w:rsidP="001E49DB">
      <w:pPr>
        <w:spacing w:line="360" w:lineRule="auto"/>
      </w:pPr>
    </w:p>
    <w:p w:rsidR="001E49DB" w:rsidRDefault="001E49DB" w:rsidP="001E49DB">
      <w:pPr>
        <w:spacing w:line="360" w:lineRule="auto"/>
        <w:outlineLvl w:val="0"/>
        <w:rPr>
          <w:b/>
        </w:rPr>
      </w:pPr>
      <w:r>
        <w:rPr>
          <w:b/>
        </w:rPr>
        <w:t>Finanzdienstleistungsgeschäf</w:t>
      </w:r>
      <w:r w:rsidR="00E16135">
        <w:rPr>
          <w:b/>
        </w:rPr>
        <w:t xml:space="preserve">t mit positiver Geschäftsentwicklung </w:t>
      </w:r>
    </w:p>
    <w:p w:rsidR="00974C4C" w:rsidRPr="00274CCF" w:rsidRDefault="00974C4C" w:rsidP="001E49DB">
      <w:pPr>
        <w:spacing w:line="360" w:lineRule="auto"/>
        <w:outlineLvl w:val="0"/>
        <w:rPr>
          <w:b/>
        </w:rPr>
      </w:pPr>
    </w:p>
    <w:p w:rsidR="00340B52" w:rsidRDefault="00E37667" w:rsidP="00340B52">
      <w:pPr>
        <w:spacing w:line="360" w:lineRule="auto"/>
      </w:pPr>
      <w:r>
        <w:t>D</w:t>
      </w:r>
      <w:r w:rsidR="00AE0CD4">
        <w:t xml:space="preserve">as </w:t>
      </w:r>
      <w:r w:rsidR="001E49DB">
        <w:t>Segment Finanzdie</w:t>
      </w:r>
      <w:r>
        <w:t>nstleistungen hat seine positive Geschäftsentwicklung im zweiten Quartal fortgesetzt. Der Umsatz lag mit 4.181 (Vj. 4.198</w:t>
      </w:r>
      <w:r w:rsidR="00340B52">
        <w:t>) Mio. Euro etwa</w:t>
      </w:r>
      <w:r w:rsidR="004B20A1">
        <w:t xml:space="preserve"> auf dem Niveau des Vorjahres</w:t>
      </w:r>
      <w:r w:rsidR="001E49DB">
        <w:t>. Das Ergebnis</w:t>
      </w:r>
      <w:r w:rsidR="00AE0CD4">
        <w:t xml:space="preserve"> vor Steuern stieg </w:t>
      </w:r>
      <w:r w:rsidR="00340B52">
        <w:t xml:space="preserve">auch </w:t>
      </w:r>
      <w:r w:rsidR="00391659">
        <w:t>aufgrund der weiterhin attrakt</w:t>
      </w:r>
      <w:r w:rsidR="00212437">
        <w:t xml:space="preserve">iven Refinanzierungsbedingungen </w:t>
      </w:r>
      <w:r w:rsidR="00E00CF9">
        <w:t>um 96,3</w:t>
      </w:r>
      <w:r w:rsidR="004B20A1">
        <w:t xml:space="preserve">% </w:t>
      </w:r>
      <w:r w:rsidR="00212437">
        <w:t>a</w:t>
      </w:r>
      <w:r w:rsidR="000D2275">
        <w:t>uf 744</w:t>
      </w:r>
      <w:r w:rsidR="004B20A1">
        <w:t xml:space="preserve"> (Vj. 379</w:t>
      </w:r>
      <w:r w:rsidR="001E49DB">
        <w:t xml:space="preserve">) Mio. Euro. </w:t>
      </w:r>
      <w:r w:rsidR="00D524B8">
        <w:t>Darin enthalten ist</w:t>
      </w:r>
      <w:r w:rsidR="00340B52">
        <w:t xml:space="preserve"> ein positiver Sondereffe</w:t>
      </w:r>
      <w:r w:rsidR="008C2DD6">
        <w:t xml:space="preserve">kt von 379 Mio. Euro, </w:t>
      </w:r>
      <w:r w:rsidR="00340B52">
        <w:t>der sich a</w:t>
      </w:r>
      <w:r w:rsidR="005B2909">
        <w:t>us der Verringerung von Restwert</w:t>
      </w:r>
      <w:r w:rsidR="00340B52">
        <w:t>- und Kreditausfallrisiken ergibt.</w:t>
      </w:r>
      <w:r w:rsidR="00E36BFC">
        <w:t xml:space="preserve"> So ist beispiel</w:t>
      </w:r>
      <w:r w:rsidR="00B26051">
        <w:t>sweise die Kreditausfallrate in den ersten sechs Monaten</w:t>
      </w:r>
      <w:r w:rsidR="00E36BFC">
        <w:t xml:space="preserve"> auf 0,43% gesunken, verglichen mit 0,55% im Auftaktquartal.</w:t>
      </w:r>
    </w:p>
    <w:p w:rsidR="00D524B8" w:rsidRDefault="00D524B8" w:rsidP="001E49DB">
      <w:pPr>
        <w:spacing w:line="360" w:lineRule="auto"/>
      </w:pPr>
    </w:p>
    <w:p w:rsidR="004B20A1" w:rsidRDefault="004B20A1" w:rsidP="001E49DB">
      <w:pPr>
        <w:spacing w:line="360" w:lineRule="auto"/>
      </w:pPr>
      <w:r>
        <w:t>Im ersten Halbjahr erhöhte sich der Umsatz um 2,0% auf 8.364 (Vj. 8.202) Mio. Euro. Das Ergebnis vor Steuern kletterte um 95,2% auf 1.173 (Vj. 601) Mio. Euro.</w:t>
      </w:r>
    </w:p>
    <w:p w:rsidR="004B20A1" w:rsidRDefault="004B20A1" w:rsidP="001E49DB">
      <w:pPr>
        <w:spacing w:line="360" w:lineRule="auto"/>
      </w:pPr>
    </w:p>
    <w:p w:rsidR="00BA35DF" w:rsidRDefault="00A95122" w:rsidP="001E49DB">
      <w:pPr>
        <w:spacing w:line="360" w:lineRule="auto"/>
      </w:pPr>
      <w:r>
        <w:t>Die Anzahl der betreuten Leasing- und Finanzier</w:t>
      </w:r>
      <w:r w:rsidR="004B20A1">
        <w:t>ungsverträge erhöhte sich zum 30. Juni um 5,1% auf insgesamt 3.277.247</w:t>
      </w:r>
      <w:r>
        <w:t xml:space="preserve">. </w:t>
      </w:r>
      <w:r w:rsidR="00746D0C">
        <w:t xml:space="preserve">Die Zahl der Neuverträge im </w:t>
      </w:r>
      <w:r w:rsidR="001E49DB">
        <w:t>Finanzierungs-</w:t>
      </w:r>
      <w:r w:rsidR="004B20A1">
        <w:t xml:space="preserve"> und Leasinggeschäft stieg um 12,2</w:t>
      </w:r>
      <w:r w:rsidR="00AE0CD4">
        <w:t>%</w:t>
      </w:r>
      <w:r w:rsidR="004B20A1">
        <w:t xml:space="preserve"> auf 591.351</w:t>
      </w:r>
      <w:r w:rsidR="001E49DB">
        <w:t>. Das Leasinggeschäft wuchs</w:t>
      </w:r>
      <w:r w:rsidR="00BA35DF">
        <w:t xml:space="preserve"> um 20,4</w:t>
      </w:r>
      <w:r w:rsidR="001E49DB">
        <w:t>%, wäh</w:t>
      </w:r>
      <w:r>
        <w:t>r</w:t>
      </w:r>
      <w:r w:rsidR="00BA35DF">
        <w:t>end die Kreditfinanzierung um 8,9</w:t>
      </w:r>
      <w:r w:rsidR="001E49DB">
        <w:t xml:space="preserve">% zulegte. </w:t>
      </w:r>
    </w:p>
    <w:p w:rsidR="00E36BFC" w:rsidRDefault="00E36BFC" w:rsidP="001E49DB">
      <w:pPr>
        <w:spacing w:line="360" w:lineRule="auto"/>
      </w:pPr>
    </w:p>
    <w:p w:rsidR="001E49DB" w:rsidRDefault="00BA35DF" w:rsidP="00E37667">
      <w:pPr>
        <w:tabs>
          <w:tab w:val="clear" w:pos="454"/>
          <w:tab w:val="clear" w:pos="4706"/>
        </w:tabs>
        <w:spacing w:line="240" w:lineRule="auto"/>
        <w:rPr>
          <w:b/>
          <w:bCs/>
        </w:rPr>
      </w:pPr>
      <w:r>
        <w:rPr>
          <w:b/>
          <w:bCs/>
        </w:rPr>
        <w:t>Zahl der Mitarbeiter leicht gestiegen</w:t>
      </w:r>
    </w:p>
    <w:p w:rsidR="001E49DB" w:rsidRDefault="001E49DB" w:rsidP="001E49DB">
      <w:pPr>
        <w:pStyle w:val="Fliesstext"/>
      </w:pPr>
    </w:p>
    <w:p w:rsidR="00746D0C" w:rsidRDefault="00BA35DF" w:rsidP="001E49DB">
      <w:pPr>
        <w:spacing w:line="360" w:lineRule="auto"/>
      </w:pPr>
      <w:r>
        <w:t>D</w:t>
      </w:r>
      <w:r w:rsidR="00645091">
        <w:t xml:space="preserve">ie Zahl der Beschäftigten </w:t>
      </w:r>
      <w:r w:rsidR="003E12EC">
        <w:t xml:space="preserve">ist im ersten Halbjahr leicht gestiegen. Insgesamt waren zum 30. Juni weltweit </w:t>
      </w:r>
      <w:r>
        <w:t>96.943 Mitarbeiter (Vj. 95.502</w:t>
      </w:r>
      <w:r w:rsidR="00645091">
        <w:t>)</w:t>
      </w:r>
      <w:r w:rsidR="003E12EC">
        <w:t xml:space="preserve"> bei der BMW Group beschäftigt, das ist ein Plus von 1,5%</w:t>
      </w:r>
      <w:r w:rsidR="001E49DB">
        <w:t xml:space="preserve">. </w:t>
      </w:r>
      <w:r w:rsidR="00AE0CD4">
        <w:t>Im Vergleich zum Jahresende 2010 er</w:t>
      </w:r>
      <w:r w:rsidR="008A12C1">
        <w:t xml:space="preserve">gab sich ein </w:t>
      </w:r>
      <w:r w:rsidR="003E12EC">
        <w:t>Anstieg</w:t>
      </w:r>
      <w:r>
        <w:t xml:space="preserve"> von 1</w:t>
      </w:r>
      <w:r w:rsidR="00AE0CD4">
        <w:t xml:space="preserve">,6%. </w:t>
      </w:r>
    </w:p>
    <w:p w:rsidR="00E7721D" w:rsidRDefault="00E7721D" w:rsidP="00E7721D">
      <w:pPr>
        <w:spacing w:line="360" w:lineRule="auto"/>
      </w:pPr>
    </w:p>
    <w:p w:rsidR="00A51813" w:rsidRDefault="00A51813">
      <w:pPr>
        <w:tabs>
          <w:tab w:val="clear" w:pos="454"/>
          <w:tab w:val="clear" w:pos="4706"/>
        </w:tabs>
        <w:spacing w:line="240" w:lineRule="auto"/>
        <w:rPr>
          <w:b/>
          <w:bCs/>
        </w:rPr>
      </w:pPr>
    </w:p>
    <w:p w:rsidR="003D296A" w:rsidRDefault="003D296A">
      <w:pPr>
        <w:tabs>
          <w:tab w:val="clear" w:pos="454"/>
          <w:tab w:val="clear" w:pos="4706"/>
        </w:tabs>
        <w:spacing w:line="240" w:lineRule="auto"/>
        <w:rPr>
          <w:b/>
          <w:bCs/>
        </w:rPr>
      </w:pPr>
    </w:p>
    <w:p w:rsidR="00277367" w:rsidRPr="00277367" w:rsidRDefault="00277367" w:rsidP="00277367">
      <w:pPr>
        <w:tabs>
          <w:tab w:val="clear" w:pos="454"/>
          <w:tab w:val="clear" w:pos="4706"/>
        </w:tabs>
        <w:spacing w:line="240" w:lineRule="auto"/>
        <w:rPr>
          <w:b/>
          <w:bCs/>
        </w:rPr>
      </w:pPr>
      <w:r w:rsidRPr="00277367">
        <w:rPr>
          <w:b/>
          <w:bCs/>
        </w:rPr>
        <w:t>BMW Group für das laufende Geschäftsjahr zuversichtlich</w:t>
      </w:r>
    </w:p>
    <w:p w:rsidR="00E7721D" w:rsidRDefault="00E7721D" w:rsidP="00E7721D">
      <w:pPr>
        <w:spacing w:line="360" w:lineRule="auto"/>
      </w:pPr>
    </w:p>
    <w:p w:rsidR="00E7721D" w:rsidRDefault="00A33BF8" w:rsidP="00E7721D">
      <w:pPr>
        <w:spacing w:line="360" w:lineRule="auto"/>
      </w:pPr>
      <w:r>
        <w:t>Angesichts der starken</w:t>
      </w:r>
      <w:r w:rsidR="00E7721D">
        <w:t xml:space="preserve"> Na</w:t>
      </w:r>
      <w:r w:rsidR="00E16135">
        <w:t xml:space="preserve">chfrage nach dem neuen BMW 5er, 6er und dem BMW </w:t>
      </w:r>
      <w:r w:rsidR="003E12EC">
        <w:t>7er, den erfolgreichen X-Modellen</w:t>
      </w:r>
      <w:r w:rsidR="00E16135">
        <w:t xml:space="preserve"> BMW </w:t>
      </w:r>
      <w:r w:rsidR="007E49CE">
        <w:t>X1, X3, X5 und X6 sowie erheb</w:t>
      </w:r>
      <w:r w:rsidR="00E7721D">
        <w:t>lich verbesserten Kostenstrukturen rechnet die BMW Group für das</w:t>
      </w:r>
      <w:r w:rsidR="005B2909">
        <w:t xml:space="preserve"> Gesamtjahr mit einer deutlich</w:t>
      </w:r>
      <w:r w:rsidR="00E7721D">
        <w:t xml:space="preserve"> besseren Geschäftsentwicklung als ursprünglich angenommen. Dementsprechend hat das Unternehmen Mitte Juli seine Ergebnis- und Absatzprognose für das Gesamtjahr angehoben.</w:t>
      </w:r>
    </w:p>
    <w:p w:rsidR="00E7721D" w:rsidRDefault="00E7721D" w:rsidP="00E7721D">
      <w:pPr>
        <w:spacing w:line="360" w:lineRule="auto"/>
      </w:pPr>
    </w:p>
    <w:p w:rsidR="00E7721D" w:rsidRDefault="00E7721D" w:rsidP="00E7721D">
      <w:pPr>
        <w:spacing w:line="360" w:lineRule="auto"/>
      </w:pPr>
      <w:r>
        <w:t>Im Segment Automobile g</w:t>
      </w:r>
      <w:r w:rsidR="00E16135">
        <w:t>eht die BMW Group</w:t>
      </w:r>
      <w:r>
        <w:t xml:space="preserve"> im Gesamtjahr von ei</w:t>
      </w:r>
      <w:r w:rsidR="00541427">
        <w:t xml:space="preserve">ner EBIT-Marge von über 10% </w:t>
      </w:r>
      <w:r w:rsidR="003A64A2">
        <w:t>sowie einer Rendite auf das eingesetzte Kapital (RoCE) von mehr als</w:t>
      </w:r>
      <w:r>
        <w:t xml:space="preserve"> 26% aus. Im zweiten Halbjahr dürfte das Absatz- und Ergebni</w:t>
      </w:r>
      <w:r w:rsidR="00E16135">
        <w:t xml:space="preserve">smomentum </w:t>
      </w:r>
      <w:r>
        <w:t>jedoch durch den Wechsel bei wichtigen Volumenmodellen sowie die Markteinführung und den Produktionsanlauf der Nachfolgemodelle gedämpft werden.</w:t>
      </w:r>
    </w:p>
    <w:p w:rsidR="00E7721D" w:rsidRDefault="00E7721D" w:rsidP="00E7721D">
      <w:pPr>
        <w:spacing w:line="360" w:lineRule="auto"/>
      </w:pPr>
    </w:p>
    <w:p w:rsidR="00E7721D" w:rsidRDefault="00E7721D" w:rsidP="00E7721D">
      <w:pPr>
        <w:spacing w:line="360" w:lineRule="auto"/>
      </w:pPr>
      <w:r>
        <w:t>Im Segment Finanzdienstleistungen strebt die BMW Group aufgrund der attraktiven Rahmenbedingungen und einer Ents</w:t>
      </w:r>
      <w:r w:rsidR="00EA48E6">
        <w:t xml:space="preserve">pannung der Risikosituation </w:t>
      </w:r>
      <w:r>
        <w:t xml:space="preserve">eine deutliche Verbesserung des Ergebnisses vor Steuern sowie unverändert einen Return on Equity von über 18% an. </w:t>
      </w:r>
    </w:p>
    <w:p w:rsidR="00C13603" w:rsidRDefault="00C13603" w:rsidP="00C13603">
      <w:pPr>
        <w:spacing w:line="360" w:lineRule="auto"/>
      </w:pPr>
    </w:p>
    <w:p w:rsidR="00C13603" w:rsidRDefault="00277367" w:rsidP="00C13603">
      <w:pPr>
        <w:spacing w:line="360" w:lineRule="auto"/>
      </w:pPr>
      <w:r>
        <w:t xml:space="preserve">Das Unternehmen </w:t>
      </w:r>
      <w:r w:rsidR="00C13603">
        <w:t>geht 2011 zudem von einer signifikanten Verbesserung des Konzernergebnisses sowie eine</w:t>
      </w:r>
      <w:r w:rsidR="00DA64B0">
        <w:t>r</w:t>
      </w:r>
      <w:r w:rsidR="00C13603">
        <w:t xml:space="preserve"> deutliche</w:t>
      </w:r>
      <w:r w:rsidR="00DA64B0">
        <w:t>n</w:t>
      </w:r>
      <w:r w:rsidR="00FA465D">
        <w:t xml:space="preserve"> Absatzsteigerung aus</w:t>
      </w:r>
      <w:r w:rsidR="00C13603">
        <w:t>. „Wir streben im laufenden Geschäftsjahr ein neues Rekordergebnis vor Steuern sowie einen Absatzzuwachs von über 10% auf die neue Bestmarke von mehr als 1,6 Mio. Fahrzeuge an</w:t>
      </w:r>
      <w:r w:rsidR="00673091">
        <w:t>. W</w:t>
      </w:r>
      <w:r w:rsidR="00DA64B0">
        <w:t xml:space="preserve">ir </w:t>
      </w:r>
      <w:r w:rsidR="00673091">
        <w:t xml:space="preserve">sind </w:t>
      </w:r>
      <w:r w:rsidR="00DA64B0">
        <w:t>auf</w:t>
      </w:r>
      <w:r w:rsidR="00FA465D">
        <w:t xml:space="preserve"> einem guten Weg, auch 2011 der </w:t>
      </w:r>
      <w:r w:rsidR="00DA64B0">
        <w:t xml:space="preserve">weltweit führende Premiumhersteller zu bleiben“, erklärte Reithofer weiter. </w:t>
      </w:r>
    </w:p>
    <w:p w:rsidR="00C13603" w:rsidRDefault="00C13603" w:rsidP="00C13603">
      <w:pPr>
        <w:spacing w:line="360" w:lineRule="auto"/>
      </w:pPr>
    </w:p>
    <w:p w:rsidR="00E7721D" w:rsidRDefault="00E7721D" w:rsidP="00E7721D">
      <w:pPr>
        <w:spacing w:line="360" w:lineRule="auto"/>
      </w:pPr>
      <w:r>
        <w:t>Diese Ziele gelten weiterhin unter der Voraussetzung einer stabilen Entwicklung der wirtschaftlichen und politischen Rahmenbedingungen sowie der weltweiten Konjunktur.</w:t>
      </w:r>
    </w:p>
    <w:p w:rsidR="00BA35DF" w:rsidRDefault="00BA35DF" w:rsidP="00E7721D">
      <w:pPr>
        <w:spacing w:line="360" w:lineRule="auto"/>
      </w:pPr>
    </w:p>
    <w:p w:rsidR="00E7721D" w:rsidRDefault="00FA465D" w:rsidP="00E7721D">
      <w:pPr>
        <w:tabs>
          <w:tab w:val="clear" w:pos="454"/>
          <w:tab w:val="left" w:pos="709"/>
        </w:tabs>
        <w:spacing w:line="360" w:lineRule="auto"/>
      </w:pPr>
      <w:r>
        <w:t xml:space="preserve">Die BMW Group hält zudem an ihren langfristigen Profitabilitätszielen fest. </w:t>
      </w:r>
      <w:r w:rsidR="005E0855">
        <w:t>„</w:t>
      </w:r>
      <w:r>
        <w:t>Wir streben</w:t>
      </w:r>
      <w:r w:rsidR="00E7721D">
        <w:t xml:space="preserve"> nachhaltig und damit über das Jahr 2012 hinaus </w:t>
      </w:r>
      <w:r>
        <w:t xml:space="preserve">im Segment Automobile </w:t>
      </w:r>
      <w:r w:rsidR="00625702">
        <w:t>eine EBIT-Marge</w:t>
      </w:r>
      <w:r w:rsidR="004B3668">
        <w:t xml:space="preserve"> von 8 bis 10%</w:t>
      </w:r>
      <w:r>
        <w:t xml:space="preserve"> sowie eine Rendite auf das eingesetzte Kapital</w:t>
      </w:r>
      <w:r w:rsidR="00625702">
        <w:t xml:space="preserve"> </w:t>
      </w:r>
      <w:r w:rsidR="00E7721D">
        <w:t xml:space="preserve">von mehr als 26% an. Die Bandbreite könnte in Abhängigkeit von politischen und wirtschaftlichen Rahmenbedingungen </w:t>
      </w:r>
      <w:r w:rsidR="0034103E">
        <w:t xml:space="preserve">zukünftig </w:t>
      </w:r>
      <w:r w:rsidR="00B566C0">
        <w:t xml:space="preserve">jedoch </w:t>
      </w:r>
      <w:r w:rsidR="00E7721D">
        <w:t>auch über- oder unterschritten werden</w:t>
      </w:r>
      <w:r w:rsidR="00541427">
        <w:t>“, sagte Reithofer</w:t>
      </w:r>
      <w:r w:rsidR="00E7721D">
        <w:t xml:space="preserve">. </w:t>
      </w:r>
    </w:p>
    <w:p w:rsidR="00E7721D" w:rsidRDefault="00E7721D" w:rsidP="00E7721D">
      <w:pPr>
        <w:spacing w:line="360" w:lineRule="auto"/>
      </w:pPr>
    </w:p>
    <w:p w:rsidR="00E7721D" w:rsidRDefault="00E7721D" w:rsidP="001E49DB">
      <w:pPr>
        <w:spacing w:line="360" w:lineRule="auto"/>
        <w:rPr>
          <w:b/>
        </w:rPr>
      </w:pPr>
    </w:p>
    <w:p w:rsidR="001E49DB" w:rsidRDefault="001E49DB" w:rsidP="001E49DB">
      <w:pPr>
        <w:spacing w:line="360" w:lineRule="auto"/>
      </w:pPr>
      <w:r>
        <w:rPr>
          <w:b/>
        </w:rPr>
        <w:t xml:space="preserve">                                                                       </w:t>
      </w:r>
      <w:r>
        <w:t>* * *</w:t>
      </w:r>
    </w:p>
    <w:p w:rsidR="001E49DB" w:rsidRDefault="001E49DB" w:rsidP="001E49DB">
      <w:pPr>
        <w:pStyle w:val="Fliesstext"/>
        <w:jc w:val="center"/>
      </w:pPr>
    </w:p>
    <w:p w:rsidR="001E49DB" w:rsidRPr="008007B7" w:rsidRDefault="001E49DB" w:rsidP="001E49DB">
      <w:pPr>
        <w:spacing w:line="360" w:lineRule="auto"/>
        <w:rPr>
          <w:b/>
        </w:rPr>
      </w:pPr>
      <w:r>
        <w:rPr>
          <w:b/>
          <w:bCs/>
        </w:rPr>
        <w:br w:type="page"/>
      </w:r>
      <w:r w:rsidRPr="008007B7">
        <w:rPr>
          <w:b/>
        </w:rPr>
        <w:lastRenderedPageBreak/>
        <w:t>Die BMW Group im Überblick</w:t>
      </w:r>
    </w:p>
    <w:tbl>
      <w:tblPr>
        <w:tblW w:w="8832" w:type="dxa"/>
        <w:tblLayout w:type="fixed"/>
        <w:tblCellMar>
          <w:left w:w="0" w:type="dxa"/>
          <w:right w:w="0" w:type="dxa"/>
        </w:tblCellMar>
        <w:tblLook w:val="0000"/>
      </w:tblPr>
      <w:tblGrid>
        <w:gridCol w:w="3981"/>
        <w:gridCol w:w="1560"/>
        <w:gridCol w:w="1559"/>
        <w:gridCol w:w="1732"/>
      </w:tblGrid>
      <w:tr w:rsidR="001E49DB" w:rsidRPr="008007B7" w:rsidTr="003F143C">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BA35DF" w:rsidP="008616A0">
            <w:pPr>
              <w:pStyle w:val="Fliesstext"/>
              <w:jc w:val="right"/>
              <w:rPr>
                <w:rFonts w:eastAsia="Arial Unicode MS" w:cs="Arial Unicode MS"/>
                <w:b/>
                <w:bCs/>
                <w:sz w:val="20"/>
                <w:szCs w:val="20"/>
              </w:rPr>
            </w:pPr>
            <w:r>
              <w:rPr>
                <w:rFonts w:eastAsia="Arial Unicode MS" w:cs="Arial Unicode MS"/>
                <w:b/>
                <w:bCs/>
                <w:sz w:val="20"/>
                <w:szCs w:val="20"/>
              </w:rPr>
              <w:t>2</w:t>
            </w:r>
            <w:r w:rsidR="00FD489E">
              <w:rPr>
                <w:rFonts w:eastAsia="Arial Unicode MS" w:cs="Arial Unicode MS"/>
                <w:b/>
                <w:bCs/>
                <w:sz w:val="20"/>
                <w:szCs w:val="20"/>
              </w:rPr>
              <w:t>.</w:t>
            </w:r>
            <w:r w:rsidR="00B127CB">
              <w:rPr>
                <w:rFonts w:eastAsia="Arial Unicode MS" w:cs="Arial Unicode MS"/>
                <w:b/>
                <w:bCs/>
                <w:sz w:val="20"/>
                <w:szCs w:val="20"/>
              </w:rPr>
              <w:t xml:space="preserve"> </w:t>
            </w:r>
            <w:r w:rsidR="00FD489E">
              <w:rPr>
                <w:rFonts w:eastAsia="Arial Unicode MS" w:cs="Arial Unicode MS"/>
                <w:b/>
                <w:bCs/>
                <w:sz w:val="20"/>
                <w:szCs w:val="20"/>
              </w:rPr>
              <w:t xml:space="preserve">Quartal </w:t>
            </w:r>
            <w:r w:rsidR="001E49DB">
              <w:rPr>
                <w:rFonts w:eastAsia="Arial Unicode MS" w:cs="Arial Unicode MS"/>
                <w:b/>
                <w:bCs/>
                <w:sz w:val="20"/>
                <w:szCs w:val="20"/>
              </w:rPr>
              <w:t>1</w:t>
            </w:r>
            <w:r w:rsidR="00FD489E">
              <w:rPr>
                <w:rFonts w:eastAsia="Arial Unicode MS" w:cs="Arial Unicode MS"/>
                <w:b/>
                <w:bCs/>
                <w:sz w:val="20"/>
                <w:szCs w:val="20"/>
              </w:rPr>
              <w:t>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BA35DF" w:rsidP="003F143C">
            <w:pPr>
              <w:pStyle w:val="Fliesstext"/>
              <w:jc w:val="right"/>
              <w:rPr>
                <w:rFonts w:eastAsia="Arial Unicode MS" w:cs="Arial Unicode MS"/>
                <w:b/>
                <w:bCs/>
                <w:sz w:val="20"/>
                <w:szCs w:val="20"/>
              </w:rPr>
            </w:pPr>
            <w:r>
              <w:rPr>
                <w:rFonts w:eastAsia="Arial Unicode MS" w:cs="Arial Unicode MS"/>
                <w:b/>
                <w:bCs/>
                <w:sz w:val="20"/>
                <w:szCs w:val="20"/>
              </w:rPr>
              <w:t>2</w:t>
            </w:r>
            <w:r w:rsidR="00FD489E">
              <w:rPr>
                <w:rFonts w:eastAsia="Arial Unicode MS" w:cs="Arial Unicode MS"/>
                <w:b/>
                <w:bCs/>
                <w:sz w:val="20"/>
                <w:szCs w:val="20"/>
              </w:rPr>
              <w:t>. Quartal 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spacing w:line="240" w:lineRule="auto"/>
              <w:jc w:val="right"/>
              <w:rPr>
                <w:rFonts w:eastAsia="Arial Unicode MS" w:cs="Arial Unicode MS"/>
                <w:b/>
                <w:bCs/>
                <w:sz w:val="20"/>
                <w:szCs w:val="20"/>
              </w:rPr>
            </w:pPr>
            <w:r>
              <w:rPr>
                <w:rFonts w:eastAsia="Arial Unicode MS" w:cs="Arial Unicode MS"/>
                <w:b/>
                <w:bCs/>
                <w:sz w:val="20"/>
                <w:szCs w:val="20"/>
              </w:rPr>
              <w:t>Veränderung</w:t>
            </w:r>
          </w:p>
          <w:p w:rsidR="001E49DB" w:rsidRDefault="001E49DB" w:rsidP="003F143C">
            <w:pPr>
              <w:spacing w:line="240" w:lineRule="auto"/>
              <w:jc w:val="right"/>
              <w:rPr>
                <w:rFonts w:eastAsia="Arial Unicode MS" w:cs="Arial Unicode MS"/>
                <w:b/>
                <w:bCs/>
                <w:sz w:val="20"/>
                <w:szCs w:val="20"/>
              </w:rPr>
            </w:pPr>
            <w:r>
              <w:rPr>
                <w:rFonts w:eastAsia="Arial Unicode MS" w:cs="Arial Unicode MS"/>
                <w:b/>
                <w:bCs/>
                <w:sz w:val="20"/>
                <w:szCs w:val="20"/>
              </w:rPr>
              <w:t xml:space="preserve"> in %</w:t>
            </w:r>
          </w:p>
        </w:tc>
      </w:tr>
      <w:tr w:rsidR="001E49DB" w:rsidRPr="008007B7"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pStyle w:val="berschrift6"/>
              <w:tabs>
                <w:tab w:val="right" w:pos="3828"/>
              </w:tabs>
              <w:ind w:left="57"/>
              <w:rPr>
                <w:rFonts w:ascii="BMWTypeLight" w:hAnsi="BMWTypeLight"/>
              </w:rPr>
            </w:pPr>
            <w:r>
              <w:rPr>
                <w:rFonts w:ascii="BMWTypeLight" w:hAnsi="BMWTypeLight"/>
              </w:rPr>
              <w:t>Fahrzeug-Auslieferungen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spacing w:line="240" w:lineRule="auto"/>
              <w:jc w:val="right"/>
              <w:rPr>
                <w:sz w:val="20"/>
                <w:szCs w:val="20"/>
              </w:rPr>
            </w:pPr>
          </w:p>
        </w:tc>
      </w:tr>
      <w:tr w:rsidR="001E49DB" w:rsidRPr="008007B7"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1E49DB" w:rsidP="003F143C">
            <w:pPr>
              <w:pStyle w:val="berschrift6"/>
              <w:tabs>
                <w:tab w:val="right" w:pos="3828"/>
              </w:tabs>
              <w:ind w:left="57"/>
              <w:rPr>
                <w:rFonts w:ascii="BMWTypeLight" w:hAnsi="BMWTypeLight"/>
                <w:b w:val="0"/>
                <w:bCs w:val="0"/>
              </w:rPr>
            </w:pPr>
            <w:r>
              <w:rPr>
                <w:rFonts w:ascii="BMWTypeLight" w:hAnsi="BMWTypeLight"/>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BA35DF" w:rsidP="003F143C">
            <w:pPr>
              <w:spacing w:line="240" w:lineRule="auto"/>
              <w:jc w:val="right"/>
              <w:rPr>
                <w:sz w:val="20"/>
                <w:szCs w:val="20"/>
              </w:rPr>
            </w:pPr>
            <w:r>
              <w:rPr>
                <w:sz w:val="20"/>
                <w:szCs w:val="20"/>
              </w:rPr>
              <w:t>450.608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BA35DF" w:rsidP="003F143C">
            <w:pPr>
              <w:spacing w:line="240" w:lineRule="auto"/>
              <w:jc w:val="right"/>
              <w:rPr>
                <w:sz w:val="20"/>
                <w:szCs w:val="20"/>
              </w:rPr>
            </w:pPr>
            <w:r>
              <w:rPr>
                <w:sz w:val="20"/>
                <w:szCs w:val="20"/>
              </w:rPr>
              <w:t>380.412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E49DB" w:rsidRDefault="00BA35DF" w:rsidP="003F143C">
            <w:pPr>
              <w:spacing w:line="240" w:lineRule="auto"/>
              <w:jc w:val="right"/>
              <w:rPr>
                <w:sz w:val="20"/>
                <w:szCs w:val="20"/>
              </w:rPr>
            </w:pPr>
            <w:r>
              <w:rPr>
                <w:sz w:val="20"/>
                <w:szCs w:val="20"/>
              </w:rPr>
              <w:t>18,5</w:t>
            </w:r>
          </w:p>
        </w:tc>
      </w:tr>
      <w:tr w:rsidR="00BA35DF" w:rsidTr="003F143C">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sz w:val="20"/>
                <w:szCs w:val="20"/>
              </w:rPr>
            </w:pPr>
            <w:r>
              <w:rPr>
                <w:sz w:val="20"/>
                <w:szCs w:val="20"/>
              </w:rPr>
              <w:t>Davon:</w:t>
            </w:r>
          </w:p>
          <w:p w:rsidR="00BA35DF" w:rsidRDefault="00BA35DF" w:rsidP="003F143C">
            <w:pPr>
              <w:tabs>
                <w:tab w:val="right" w:pos="3828"/>
              </w:tabs>
              <w:spacing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BA35DF">
            <w:pPr>
              <w:spacing w:line="240" w:lineRule="auto"/>
              <w:jc w:val="right"/>
              <w:rPr>
                <w:sz w:val="20"/>
                <w:szCs w:val="20"/>
              </w:rPr>
            </w:pPr>
            <w:r>
              <w:rPr>
                <w:sz w:val="20"/>
                <w:szCs w:val="20"/>
              </w:rPr>
              <w:t>368.686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BA35DF">
            <w:pPr>
              <w:spacing w:line="240" w:lineRule="auto"/>
              <w:jc w:val="right"/>
              <w:rPr>
                <w:sz w:val="20"/>
                <w:szCs w:val="20"/>
              </w:rPr>
            </w:pPr>
            <w:r>
              <w:rPr>
                <w:sz w:val="20"/>
                <w:szCs w:val="20"/>
              </w:rPr>
              <w:t>319.946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BA35DF">
            <w:pPr>
              <w:spacing w:line="240" w:lineRule="auto"/>
              <w:jc w:val="right"/>
              <w:rPr>
                <w:sz w:val="20"/>
                <w:szCs w:val="20"/>
              </w:rPr>
            </w:pPr>
            <w:r>
              <w:rPr>
                <w:sz w:val="20"/>
                <w:szCs w:val="20"/>
              </w:rPr>
              <w:t>15,2</w:t>
            </w:r>
          </w:p>
        </w:tc>
      </w:tr>
      <w:tr w:rsidR="00BA35DF" w:rsidTr="003F143C">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spacing w:line="240" w:lineRule="auto"/>
              <w:jc w:val="right"/>
              <w:rPr>
                <w:sz w:val="20"/>
                <w:szCs w:val="20"/>
              </w:rPr>
            </w:pPr>
            <w:r>
              <w:rPr>
                <w:sz w:val="20"/>
                <w:szCs w:val="20"/>
              </w:rPr>
              <w:t>81.053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59.775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35,6</w:t>
            </w:r>
          </w:p>
        </w:tc>
      </w:tr>
      <w:tr w:rsidR="00BA35DF" w:rsidTr="003F143C">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869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691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25,8</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rFonts w:eastAsia="Arial Unicode MS" w:cs="Arial Unicode MS"/>
                <w:sz w:val="20"/>
                <w:szCs w:val="20"/>
              </w:rPr>
            </w:pPr>
            <w:r>
              <w:rPr>
                <w:sz w:val="20"/>
                <w:szCs w:val="20"/>
              </w:rPr>
              <w:t xml:space="preserve">  Motorräder</w:t>
            </w:r>
            <w:r>
              <w:rPr>
                <w:sz w:val="20"/>
                <w:szCs w:val="20"/>
                <w:vertAlign w:val="superscript"/>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39</w:t>
            </w:r>
            <w:r w:rsidR="00FC202D">
              <w:rPr>
                <w:sz w:val="20"/>
                <w:szCs w:val="20"/>
              </w:rPr>
              <w:t>.</w:t>
            </w:r>
            <w:r>
              <w:rPr>
                <w:sz w:val="20"/>
                <w:szCs w:val="20"/>
              </w:rPr>
              <w:t>061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39</w:t>
            </w:r>
            <w:r w:rsidR="00FC202D">
              <w:rPr>
                <w:sz w:val="20"/>
                <w:szCs w:val="20"/>
              </w:rPr>
              <w:t>.</w:t>
            </w:r>
            <w:r>
              <w:rPr>
                <w:sz w:val="20"/>
                <w:szCs w:val="20"/>
              </w:rPr>
              <w:t>195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-0</w:t>
            </w:r>
            <w:r w:rsidR="00FC202D">
              <w:rPr>
                <w:sz w:val="20"/>
                <w:szCs w:val="20"/>
              </w:rPr>
              <w:t>,</w:t>
            </w:r>
            <w:r>
              <w:rPr>
                <w:sz w:val="20"/>
                <w:szCs w:val="20"/>
              </w:rPr>
              <w:t>3</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sz w:val="20"/>
                <w:szCs w:val="20"/>
              </w:rPr>
            </w:pPr>
            <w:r>
              <w:rPr>
                <w:sz w:val="20"/>
                <w:szCs w:val="20"/>
              </w:rPr>
              <w:t>Davon:</w:t>
            </w:r>
          </w:p>
          <w:p w:rsidR="00BA35DF" w:rsidRDefault="00BA35DF" w:rsidP="003F143C">
            <w:pPr>
              <w:tabs>
                <w:tab w:val="right" w:pos="3828"/>
              </w:tabs>
              <w:spacing w:line="240" w:lineRule="auto"/>
              <w:ind w:left="57"/>
              <w:rPr>
                <w:rFonts w:eastAsia="Arial Unicode MS" w:cs="Arial Unicode MS"/>
                <w:sz w:val="20"/>
                <w:szCs w:val="20"/>
              </w:rPr>
            </w:pPr>
            <w:r>
              <w:rPr>
                <w:sz w:val="20"/>
                <w:szCs w:val="20"/>
              </w:rPr>
              <w:t xml:space="preserve">  BMW                                                  </w:t>
            </w:r>
            <w:r w:rsidRPr="00B013B2">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37</w:t>
            </w:r>
            <w:r w:rsidR="00FC202D">
              <w:rPr>
                <w:sz w:val="20"/>
                <w:szCs w:val="20"/>
              </w:rPr>
              <w:t>.</w:t>
            </w:r>
            <w:r>
              <w:rPr>
                <w:sz w:val="20"/>
                <w:szCs w:val="20"/>
              </w:rPr>
              <w:t>471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36</w:t>
            </w:r>
            <w:r w:rsidR="00FC202D">
              <w:rPr>
                <w:sz w:val="20"/>
                <w:szCs w:val="20"/>
              </w:rPr>
              <w:t>.</w:t>
            </w:r>
            <w:r>
              <w:rPr>
                <w:sz w:val="20"/>
                <w:szCs w:val="20"/>
              </w:rPr>
              <w:t>175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2A1173" w:rsidP="003F143C">
            <w:pPr>
              <w:spacing w:line="240" w:lineRule="auto"/>
              <w:jc w:val="right"/>
              <w:rPr>
                <w:sz w:val="20"/>
                <w:szCs w:val="20"/>
              </w:rPr>
            </w:pPr>
            <w:r>
              <w:rPr>
                <w:sz w:val="20"/>
                <w:szCs w:val="20"/>
              </w:rPr>
              <w:t>3</w:t>
            </w:r>
            <w:r w:rsidR="00FC202D">
              <w:rPr>
                <w:sz w:val="20"/>
                <w:szCs w:val="20"/>
              </w:rPr>
              <w:t>,</w:t>
            </w:r>
            <w:r>
              <w:rPr>
                <w:sz w:val="20"/>
                <w:szCs w:val="20"/>
              </w:rPr>
              <w:t>6</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sz w:val="20"/>
                <w:szCs w:val="20"/>
              </w:rPr>
            </w:pPr>
            <w:r>
              <w:rPr>
                <w:sz w:val="20"/>
                <w:szCs w:val="20"/>
              </w:rPr>
              <w:t xml:space="preserve">  Husqvarna                                         </w:t>
            </w:r>
            <w:r w:rsidRPr="000C4D09">
              <w:rPr>
                <w:rFonts w:eastAsia="Arial Unicode MS" w:cs="Arial Unicode MS"/>
                <w:sz w:val="16"/>
                <w:szCs w:val="20"/>
              </w:rPr>
              <w:t>Einheite</w:t>
            </w:r>
            <w:r w:rsidRPr="000A1A04">
              <w:rPr>
                <w:sz w:val="16"/>
                <w:szCs w:val="16"/>
              </w:rPr>
              <w:t>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1.590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3.020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-47,4</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pStyle w:val="berschrift6"/>
              <w:tabs>
                <w:tab w:val="right" w:pos="3828"/>
              </w:tabs>
              <w:ind w:left="57"/>
              <w:rPr>
                <w:rFonts w:ascii="BMWTypeLight" w:hAnsi="BMWTypeLight"/>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spacing w:line="240" w:lineRule="auto"/>
              <w:jc w:val="right"/>
              <w:rPr>
                <w:sz w:val="20"/>
                <w:szCs w:val="20"/>
              </w:rPr>
            </w:pP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Pr="008616A0" w:rsidRDefault="00BA35DF" w:rsidP="008616A0">
            <w:pPr>
              <w:tabs>
                <w:tab w:val="right" w:pos="3828"/>
              </w:tabs>
              <w:spacing w:line="240" w:lineRule="auto"/>
              <w:ind w:left="57"/>
              <w:rPr>
                <w:rFonts w:eastAsia="Arial Unicode MS" w:cs="Arial Unicode MS"/>
                <w:bCs/>
                <w:sz w:val="16"/>
                <w:szCs w:val="16"/>
              </w:rPr>
            </w:pPr>
            <w:r>
              <w:rPr>
                <w:b/>
                <w:bCs/>
                <w:sz w:val="20"/>
                <w:szCs w:val="20"/>
              </w:rPr>
              <w:t>Mitarbeiter am Quartalsende</w:t>
            </w:r>
            <w:r w:rsidR="008616A0">
              <w:rPr>
                <w:rStyle w:val="Funotenzeichen"/>
                <w:b/>
                <w:bCs/>
                <w:szCs w:val="20"/>
              </w:rPr>
              <w:footnoteReference w:id="1"/>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96.943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95.502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1,5</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8616A0">
            <w:pPr>
              <w:tabs>
                <w:tab w:val="right" w:pos="3828"/>
              </w:tabs>
              <w:spacing w:line="240" w:lineRule="auto"/>
              <w:ind w:left="57"/>
              <w:rPr>
                <w:rFonts w:eastAsia="Arial Unicode MS" w:cs="Arial Unicode MS"/>
                <w:sz w:val="20"/>
                <w:szCs w:val="20"/>
              </w:rPr>
            </w:pPr>
            <w:r w:rsidRPr="005A58C8">
              <w:rPr>
                <w:b/>
                <w:bCs/>
                <w:sz w:val="20"/>
                <w:szCs w:val="20"/>
              </w:rPr>
              <w:t>Operativer Cashflow</w:t>
            </w:r>
            <w:r w:rsidR="008616A0">
              <w:rPr>
                <w:rStyle w:val="Funotenzeichen"/>
                <w:b/>
                <w:bCs/>
                <w:szCs w:val="20"/>
              </w:rPr>
              <w:footnoteReference w:id="2"/>
            </w:r>
            <w:r>
              <w:rPr>
                <w:b/>
                <w:bCs/>
                <w:sz w:val="20"/>
                <w:szCs w:val="20"/>
              </w:rPr>
              <w:t xml:space="preserve">                      </w:t>
            </w:r>
            <w:r w:rsidRPr="005A58C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AA7614" w:rsidP="003F143C">
            <w:pPr>
              <w:spacing w:line="240" w:lineRule="auto"/>
              <w:jc w:val="right"/>
              <w:rPr>
                <w:sz w:val="20"/>
                <w:szCs w:val="20"/>
              </w:rPr>
            </w:pPr>
            <w:r>
              <w:rPr>
                <w:sz w:val="20"/>
                <w:szCs w:val="20"/>
              </w:rPr>
              <w:t>2.148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AA7614" w:rsidP="003F143C">
            <w:pPr>
              <w:spacing w:line="240" w:lineRule="auto"/>
              <w:jc w:val="right"/>
              <w:rPr>
                <w:sz w:val="20"/>
                <w:szCs w:val="20"/>
              </w:rPr>
            </w:pPr>
            <w:r>
              <w:rPr>
                <w:sz w:val="20"/>
                <w:szCs w:val="20"/>
              </w:rPr>
              <w:t>2.111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AA7614" w:rsidP="003F143C">
            <w:pPr>
              <w:spacing w:line="240" w:lineRule="auto"/>
              <w:jc w:val="right"/>
              <w:rPr>
                <w:sz w:val="20"/>
                <w:szCs w:val="20"/>
              </w:rPr>
            </w:pPr>
            <w:r>
              <w:rPr>
                <w:sz w:val="20"/>
                <w:szCs w:val="20"/>
              </w:rPr>
              <w:t>1,8</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BA35DF" w:rsidP="003F143C">
            <w:pPr>
              <w:tabs>
                <w:tab w:val="right" w:pos="3828"/>
              </w:tabs>
              <w:spacing w:line="240" w:lineRule="auto"/>
              <w:ind w:left="57"/>
              <w:rPr>
                <w:rFonts w:eastAsia="Arial Unicode MS" w:cs="Arial Unicode MS"/>
                <w:b/>
                <w:bCs/>
                <w:sz w:val="20"/>
                <w:szCs w:val="20"/>
              </w:rPr>
            </w:pPr>
            <w:r>
              <w:rPr>
                <w:b/>
                <w:bCs/>
                <w:sz w:val="20"/>
                <w:szCs w:val="20"/>
              </w:rPr>
              <w:t>Umsatz</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17.888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15.348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FC202D" w:rsidP="003F143C">
            <w:pPr>
              <w:spacing w:line="240" w:lineRule="auto"/>
              <w:jc w:val="right"/>
              <w:rPr>
                <w:sz w:val="20"/>
                <w:szCs w:val="20"/>
              </w:rPr>
            </w:pPr>
            <w:r>
              <w:rPr>
                <w:sz w:val="20"/>
                <w:szCs w:val="20"/>
              </w:rPr>
              <w:t>16,5</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Pr="00817483" w:rsidRDefault="00BA35DF" w:rsidP="003F143C">
            <w:pPr>
              <w:tabs>
                <w:tab w:val="right" w:pos="3828"/>
              </w:tabs>
              <w:spacing w:line="240" w:lineRule="auto"/>
              <w:ind w:left="57"/>
              <w:rPr>
                <w:bCs/>
                <w:sz w:val="20"/>
                <w:szCs w:val="20"/>
              </w:rPr>
            </w:pPr>
            <w:r w:rsidRPr="00817483">
              <w:rPr>
                <w:bCs/>
                <w:sz w:val="20"/>
                <w:szCs w:val="20"/>
              </w:rPr>
              <w:t>Davon:</w:t>
            </w:r>
          </w:p>
          <w:p w:rsidR="00BA35DF" w:rsidRDefault="00BA35DF" w:rsidP="003F143C">
            <w:pPr>
              <w:tabs>
                <w:tab w:val="right" w:pos="3828"/>
              </w:tabs>
              <w:spacing w:line="240" w:lineRule="auto"/>
              <w:ind w:left="57"/>
              <w:rPr>
                <w:b/>
                <w:bCs/>
                <w:sz w:val="20"/>
                <w:szCs w:val="20"/>
              </w:rPr>
            </w:pPr>
            <w:r w:rsidRPr="00817483">
              <w:rPr>
                <w:bCs/>
                <w:sz w:val="20"/>
                <w:szCs w:val="20"/>
              </w:rPr>
              <w:t>Automobile</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102CB2" w:rsidP="003F143C">
            <w:pPr>
              <w:spacing w:line="240" w:lineRule="auto"/>
              <w:jc w:val="right"/>
              <w:rPr>
                <w:sz w:val="20"/>
                <w:szCs w:val="20"/>
              </w:rPr>
            </w:pPr>
            <w:r>
              <w:rPr>
                <w:sz w:val="20"/>
                <w:szCs w:val="20"/>
              </w:rPr>
              <w:t>16.674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102CB2" w:rsidP="003F143C">
            <w:pPr>
              <w:spacing w:line="240" w:lineRule="auto"/>
              <w:jc w:val="right"/>
              <w:rPr>
                <w:sz w:val="20"/>
                <w:szCs w:val="20"/>
              </w:rPr>
            </w:pPr>
            <w:r>
              <w:rPr>
                <w:sz w:val="20"/>
                <w:szCs w:val="20"/>
              </w:rPr>
              <w:t>13.669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102CB2" w:rsidP="003F143C">
            <w:pPr>
              <w:spacing w:line="240" w:lineRule="auto"/>
              <w:jc w:val="right"/>
              <w:rPr>
                <w:sz w:val="20"/>
                <w:szCs w:val="20"/>
              </w:rPr>
            </w:pPr>
            <w:r>
              <w:rPr>
                <w:sz w:val="20"/>
                <w:szCs w:val="20"/>
              </w:rPr>
              <w:t>22,0</w:t>
            </w:r>
          </w:p>
        </w:tc>
      </w:tr>
      <w:tr w:rsidR="00BA35DF"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Pr="00817483" w:rsidRDefault="00BA35DF" w:rsidP="003F143C">
            <w:pPr>
              <w:tabs>
                <w:tab w:val="right" w:pos="3828"/>
              </w:tabs>
              <w:spacing w:line="240" w:lineRule="auto"/>
              <w:ind w:left="57"/>
              <w:rPr>
                <w:bCs/>
                <w:sz w:val="20"/>
                <w:szCs w:val="20"/>
              </w:rPr>
            </w:pPr>
            <w:r w:rsidRPr="00817483">
              <w:rPr>
                <w:bCs/>
                <w:sz w:val="20"/>
                <w:szCs w:val="20"/>
              </w:rPr>
              <w:t>Motorräder</w:t>
            </w:r>
            <w:r w:rsidRPr="00817483">
              <w:rPr>
                <w:sz w:val="16"/>
              </w:rPr>
              <w:t xml:space="preserve"> </w:t>
            </w:r>
            <w:r>
              <w:rPr>
                <w:sz w:val="16"/>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7C6F9F" w:rsidP="003F143C">
            <w:pPr>
              <w:spacing w:line="240" w:lineRule="auto"/>
              <w:jc w:val="right"/>
              <w:rPr>
                <w:sz w:val="20"/>
                <w:szCs w:val="20"/>
              </w:rPr>
            </w:pPr>
            <w:r>
              <w:rPr>
                <w:sz w:val="20"/>
                <w:szCs w:val="20"/>
              </w:rPr>
              <w:t>450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7C6F9F" w:rsidP="003F143C">
            <w:pPr>
              <w:spacing w:line="240" w:lineRule="auto"/>
              <w:jc w:val="right"/>
              <w:rPr>
                <w:sz w:val="20"/>
                <w:szCs w:val="20"/>
              </w:rPr>
            </w:pPr>
            <w:r>
              <w:rPr>
                <w:sz w:val="20"/>
                <w:szCs w:val="20"/>
              </w:rPr>
              <w:t>439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BA35DF" w:rsidRDefault="007C6F9F" w:rsidP="003F143C">
            <w:pPr>
              <w:spacing w:line="240" w:lineRule="auto"/>
              <w:jc w:val="right"/>
              <w:rPr>
                <w:sz w:val="20"/>
                <w:szCs w:val="20"/>
              </w:rPr>
            </w:pPr>
            <w:r>
              <w:rPr>
                <w:sz w:val="20"/>
                <w:szCs w:val="20"/>
              </w:rPr>
              <w:t>2,5</w:t>
            </w:r>
          </w:p>
        </w:tc>
      </w:tr>
      <w:tr w:rsidR="0025397B"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17483" w:rsidRDefault="0025397B" w:rsidP="003F143C">
            <w:pPr>
              <w:tabs>
                <w:tab w:val="right" w:pos="3828"/>
              </w:tabs>
              <w:spacing w:line="240" w:lineRule="auto"/>
              <w:ind w:left="57"/>
              <w:rPr>
                <w:bCs/>
                <w:sz w:val="20"/>
                <w:szCs w:val="20"/>
              </w:rPr>
            </w:pPr>
            <w:r w:rsidRPr="00817483">
              <w:rPr>
                <w:bCs/>
                <w:sz w:val="20"/>
                <w:szCs w:val="20"/>
              </w:rPr>
              <w:t>Finanzdienstleistungen</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9C1D39">
            <w:pPr>
              <w:spacing w:line="240" w:lineRule="auto"/>
              <w:jc w:val="right"/>
              <w:rPr>
                <w:sz w:val="20"/>
                <w:szCs w:val="20"/>
              </w:rPr>
            </w:pPr>
            <w:r>
              <w:rPr>
                <w:sz w:val="20"/>
                <w:szCs w:val="20"/>
              </w:rPr>
              <w:t>4.181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9C1D39">
            <w:pPr>
              <w:spacing w:line="240" w:lineRule="auto"/>
              <w:jc w:val="right"/>
              <w:rPr>
                <w:sz w:val="20"/>
                <w:szCs w:val="20"/>
              </w:rPr>
            </w:pPr>
            <w:r>
              <w:rPr>
                <w:sz w:val="20"/>
                <w:szCs w:val="20"/>
              </w:rPr>
              <w:t>4.198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9C1D39">
            <w:pPr>
              <w:spacing w:line="240" w:lineRule="auto"/>
              <w:jc w:val="right"/>
              <w:rPr>
                <w:sz w:val="20"/>
                <w:szCs w:val="20"/>
              </w:rPr>
            </w:pPr>
            <w:r>
              <w:rPr>
                <w:sz w:val="20"/>
                <w:szCs w:val="20"/>
              </w:rPr>
              <w:t>-0,4</w:t>
            </w:r>
          </w:p>
        </w:tc>
      </w:tr>
      <w:tr w:rsidR="0025397B"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sz w:val="20"/>
                <w:szCs w:val="20"/>
              </w:rPr>
            </w:pPr>
            <w:r w:rsidRPr="00511C2B">
              <w:rPr>
                <w:bCs/>
                <w:sz w:val="20"/>
                <w:szCs w:val="20"/>
              </w:rPr>
              <w:t xml:space="preserve">Konsolidierungen   </w:t>
            </w:r>
            <w:r w:rsidRPr="00511C2B">
              <w:rPr>
                <w:sz w:val="16"/>
              </w:rPr>
              <w:t xml:space="preserve">                            </w:t>
            </w:r>
            <w:r>
              <w:rPr>
                <w:sz w:val="16"/>
              </w:rPr>
              <w:t xml:space="preserve">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-3.418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-2.959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w:t>
            </w:r>
          </w:p>
        </w:tc>
      </w:tr>
      <w:tr w:rsidR="0025397B"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tabs>
                <w:tab w:val="right" w:pos="3828"/>
              </w:tabs>
              <w:spacing w:line="240" w:lineRule="auto"/>
              <w:ind w:left="57"/>
              <w:rPr>
                <w:b/>
                <w:bCs/>
                <w:sz w:val="20"/>
                <w:szCs w:val="20"/>
              </w:rPr>
            </w:pPr>
            <w:r>
              <w:rPr>
                <w:b/>
                <w:bCs/>
                <w:sz w:val="20"/>
                <w:szCs w:val="20"/>
              </w:rPr>
              <w:t>Ergebnis vor Finanzergebnis</w:t>
            </w:r>
            <w:r>
              <w:rPr>
                <w:sz w:val="16"/>
              </w:rPr>
              <w:t xml:space="preserve">      Mio. Euro</w:t>
            </w:r>
            <w:r w:rsidRPr="009C4854">
              <w:rPr>
                <w:sz w:val="16"/>
              </w:rPr>
              <w:t xml:space="preserve">                    </w:t>
            </w:r>
            <w:r>
              <w:rPr>
                <w:sz w:val="16"/>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2.856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1.717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66,3</w:t>
            </w:r>
          </w:p>
        </w:tc>
      </w:tr>
      <w:tr w:rsidR="0025397B"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B2E78" w:rsidRDefault="0025397B" w:rsidP="003F143C">
            <w:pPr>
              <w:tabs>
                <w:tab w:val="right" w:pos="3828"/>
              </w:tabs>
              <w:spacing w:line="240" w:lineRule="auto"/>
              <w:ind w:left="57"/>
              <w:rPr>
                <w:bCs/>
                <w:sz w:val="20"/>
                <w:szCs w:val="20"/>
              </w:rPr>
            </w:pPr>
            <w:r w:rsidRPr="008B2E78">
              <w:rPr>
                <w:bCs/>
                <w:sz w:val="20"/>
                <w:szCs w:val="20"/>
              </w:rPr>
              <w:t>Davon:</w:t>
            </w:r>
          </w:p>
          <w:p w:rsidR="0025397B" w:rsidRPr="009C4854" w:rsidRDefault="0025397B" w:rsidP="003F143C">
            <w:pPr>
              <w:tabs>
                <w:tab w:val="right" w:pos="3828"/>
              </w:tabs>
              <w:spacing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2.408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1.317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82,8</w:t>
            </w:r>
          </w:p>
        </w:tc>
      </w:tr>
      <w:tr w:rsidR="0025397B" w:rsidRPr="0045552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B2E78" w:rsidRDefault="0025397B" w:rsidP="003F143C">
            <w:pPr>
              <w:tabs>
                <w:tab w:val="right" w:pos="3828"/>
              </w:tabs>
              <w:spacing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54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-13,0</w:t>
            </w:r>
          </w:p>
        </w:tc>
      </w:tr>
      <w:tr w:rsidR="0025397B" w:rsidRPr="0045552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7</w:t>
            </w:r>
            <w:r w:rsidR="00900D6A">
              <w:rPr>
                <w:sz w:val="20"/>
                <w:szCs w:val="20"/>
              </w:rPr>
              <w:t>39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379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95,0</w:t>
            </w:r>
          </w:p>
        </w:tc>
      </w:tr>
      <w:tr w:rsidR="0025397B" w:rsidRPr="0045552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bCs/>
                <w:sz w:val="20"/>
                <w:szCs w:val="20"/>
              </w:rPr>
            </w:pPr>
            <w:r>
              <w:rPr>
                <w:bCs/>
                <w:sz w:val="20"/>
                <w:szCs w:val="20"/>
              </w:rPr>
              <w:t xml:space="preserve">Sonstige Gesellschaften                    </w:t>
            </w:r>
            <w:r w:rsidRPr="005E3B20">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-81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w:t>
            </w:r>
          </w:p>
        </w:tc>
      </w:tr>
      <w:tr w:rsidR="0025397B" w:rsidRPr="0045552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17483" w:rsidRDefault="0025397B" w:rsidP="003F143C">
            <w:pPr>
              <w:tabs>
                <w:tab w:val="right" w:pos="3828"/>
              </w:tabs>
              <w:spacing w:line="240" w:lineRule="auto"/>
              <w:ind w:left="57"/>
              <w:rPr>
                <w:bCs/>
                <w:sz w:val="20"/>
                <w:szCs w:val="20"/>
              </w:rPr>
            </w:pPr>
            <w:r>
              <w:rPr>
                <w:bCs/>
                <w:sz w:val="20"/>
                <w:szCs w:val="20"/>
              </w:rPr>
              <w:t xml:space="preserve">Konsolidierungen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-359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48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w:t>
            </w:r>
          </w:p>
        </w:tc>
      </w:tr>
      <w:tr w:rsidR="0025397B" w:rsidRPr="0045552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F233F0" w:rsidRDefault="0025397B" w:rsidP="003F143C">
            <w:pPr>
              <w:tabs>
                <w:tab w:val="right" w:pos="3828"/>
              </w:tabs>
              <w:spacing w:line="240" w:lineRule="auto"/>
              <w:ind w:left="57"/>
              <w:rPr>
                <w:b/>
                <w:bCs/>
                <w:sz w:val="20"/>
                <w:szCs w:val="20"/>
              </w:rPr>
            </w:pPr>
            <w:r w:rsidRPr="00F233F0">
              <w:rPr>
                <w:b/>
                <w:bCs/>
                <w:sz w:val="20"/>
                <w:szCs w:val="20"/>
              </w:rPr>
              <w:t>Ergebnis vor Steuern</w:t>
            </w:r>
            <w:r>
              <w:rPr>
                <w:b/>
                <w:bCs/>
                <w:sz w:val="20"/>
                <w:szCs w:val="20"/>
              </w:rPr>
              <w:t xml:space="preserve">                     </w:t>
            </w:r>
            <w:r>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2.704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1.299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w:t>
            </w:r>
          </w:p>
        </w:tc>
      </w:tr>
      <w:tr w:rsidR="0025397B" w:rsidRPr="009C485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B2E78" w:rsidRDefault="0025397B" w:rsidP="003F143C">
            <w:pPr>
              <w:tabs>
                <w:tab w:val="right" w:pos="3828"/>
              </w:tabs>
              <w:spacing w:line="240" w:lineRule="auto"/>
              <w:ind w:left="57"/>
              <w:rPr>
                <w:bCs/>
                <w:sz w:val="20"/>
                <w:szCs w:val="20"/>
              </w:rPr>
            </w:pPr>
            <w:r w:rsidRPr="008B2E78">
              <w:rPr>
                <w:bCs/>
                <w:sz w:val="20"/>
                <w:szCs w:val="20"/>
              </w:rPr>
              <w:t>Davon:</w:t>
            </w:r>
          </w:p>
          <w:p w:rsidR="0025397B" w:rsidRPr="009C4854" w:rsidRDefault="0025397B" w:rsidP="003F143C">
            <w:pPr>
              <w:tabs>
                <w:tab w:val="right" w:pos="3828"/>
              </w:tabs>
              <w:spacing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2.297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938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9C4854" w:rsidRDefault="0025397B" w:rsidP="003F143C">
            <w:pPr>
              <w:spacing w:line="240" w:lineRule="auto"/>
              <w:jc w:val="right"/>
              <w:rPr>
                <w:sz w:val="20"/>
                <w:szCs w:val="20"/>
              </w:rPr>
            </w:pPr>
            <w:r>
              <w:rPr>
                <w:sz w:val="20"/>
                <w:szCs w:val="20"/>
              </w:rPr>
              <w:t>-</w:t>
            </w:r>
          </w:p>
        </w:tc>
      </w:tr>
      <w:tr w:rsidR="0025397B" w:rsidRPr="009C485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Pr="008B2E78" w:rsidRDefault="0025397B" w:rsidP="003F143C">
            <w:pPr>
              <w:tabs>
                <w:tab w:val="right" w:pos="3828"/>
              </w:tabs>
              <w:spacing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53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-11,3</w:t>
            </w:r>
          </w:p>
        </w:tc>
      </w:tr>
      <w:tr w:rsidR="0025397B" w:rsidRPr="009C485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744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379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96,3</w:t>
            </w:r>
          </w:p>
        </w:tc>
      </w:tr>
      <w:tr w:rsidR="0025397B" w:rsidRPr="009C485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bCs/>
                <w:sz w:val="20"/>
                <w:szCs w:val="20"/>
              </w:rPr>
            </w:pPr>
            <w:r>
              <w:rPr>
                <w:bCs/>
                <w:sz w:val="20"/>
                <w:szCs w:val="20"/>
              </w:rPr>
              <w:t xml:space="preserve">Sonstige Gesellschaften                    </w:t>
            </w:r>
            <w:r w:rsidRPr="0025397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-59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15,7</w:t>
            </w:r>
          </w:p>
        </w:tc>
      </w:tr>
      <w:tr w:rsidR="0025397B" w:rsidRPr="009C485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tabs>
                <w:tab w:val="right" w:pos="3828"/>
              </w:tabs>
              <w:spacing w:line="240" w:lineRule="auto"/>
              <w:ind w:left="57"/>
              <w:rPr>
                <w:bCs/>
                <w:sz w:val="20"/>
                <w:szCs w:val="20"/>
              </w:rPr>
            </w:pPr>
            <w:r>
              <w:rPr>
                <w:bCs/>
                <w:sz w:val="20"/>
                <w:szCs w:val="20"/>
              </w:rPr>
              <w:t xml:space="preserve">Konsolidierungen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-325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25397B" w:rsidP="003F143C">
            <w:pPr>
              <w:spacing w:line="240" w:lineRule="auto"/>
              <w:jc w:val="right"/>
              <w:rPr>
                <w:sz w:val="20"/>
                <w:szCs w:val="20"/>
              </w:rPr>
            </w:pPr>
            <w:r>
              <w:rPr>
                <w:sz w:val="20"/>
                <w:szCs w:val="20"/>
              </w:rPr>
              <w:t>-1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25397B" w:rsidRDefault="00BF34DC" w:rsidP="003F143C">
            <w:pPr>
              <w:spacing w:line="240" w:lineRule="auto"/>
              <w:jc w:val="right"/>
              <w:rPr>
                <w:sz w:val="20"/>
                <w:szCs w:val="20"/>
              </w:rPr>
            </w:pPr>
            <w:r>
              <w:rPr>
                <w:sz w:val="20"/>
                <w:szCs w:val="20"/>
              </w:rPr>
              <w:t>-</w:t>
            </w:r>
          </w:p>
        </w:tc>
      </w:tr>
      <w:tr w:rsidR="00102CB2"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B73E10">
            <w:pPr>
              <w:pStyle w:val="berschrift6"/>
              <w:tabs>
                <w:tab w:val="right" w:pos="3828"/>
              </w:tabs>
              <w:ind w:left="57"/>
              <w:rPr>
                <w:rFonts w:ascii="BMWTypeLight" w:hAnsi="BMWTypeLight"/>
                <w:b w:val="0"/>
                <w:bCs w:val="0"/>
              </w:rPr>
            </w:pPr>
            <w:r>
              <w:rPr>
                <w:rFonts w:ascii="BMWTypeLight" w:hAnsi="BMWTypeLight"/>
              </w:rPr>
              <w:t>Steuern auf das Ergebnis</w:t>
            </w:r>
            <w:r>
              <w:rPr>
                <w:rFonts w:ascii="BMWTypeLight" w:hAnsi="BMWTypeLight"/>
                <w:sz w:val="16"/>
              </w:rPr>
              <w:t xml:space="preserve"> </w:t>
            </w:r>
            <w:r>
              <w:rPr>
                <w:rFonts w:ascii="BMWTypeLight" w:hAnsi="BMWTypeLight"/>
                <w:sz w:val="16"/>
              </w:rPr>
              <w:tab/>
            </w:r>
            <w:r>
              <w:rPr>
                <w:rFonts w:ascii="BMWTypeLight" w:eastAsia="Times New Roman" w:hAnsi="BMWTypeLight" w:cs="Times New Roman"/>
                <w:b w:val="0"/>
                <w:bCs w:val="0"/>
                <w:sz w:val="16"/>
                <w:szCs w:val="24"/>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B73E10">
            <w:pPr>
              <w:spacing w:line="240" w:lineRule="auto"/>
              <w:jc w:val="right"/>
              <w:rPr>
                <w:sz w:val="20"/>
                <w:szCs w:val="20"/>
              </w:rPr>
            </w:pPr>
            <w:r>
              <w:rPr>
                <w:sz w:val="20"/>
                <w:szCs w:val="20"/>
              </w:rPr>
              <w:t>-895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B73E10">
            <w:pPr>
              <w:spacing w:line="240" w:lineRule="auto"/>
              <w:jc w:val="right"/>
              <w:rPr>
                <w:sz w:val="20"/>
                <w:szCs w:val="20"/>
              </w:rPr>
            </w:pPr>
            <w:r>
              <w:rPr>
                <w:sz w:val="20"/>
                <w:szCs w:val="20"/>
              </w:rPr>
              <w:t>-465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B73E10">
            <w:pPr>
              <w:spacing w:line="240" w:lineRule="auto"/>
              <w:jc w:val="right"/>
              <w:rPr>
                <w:sz w:val="20"/>
                <w:szCs w:val="20"/>
              </w:rPr>
            </w:pPr>
            <w:r>
              <w:rPr>
                <w:sz w:val="20"/>
                <w:szCs w:val="20"/>
              </w:rPr>
              <w:t>-92,5</w:t>
            </w:r>
          </w:p>
        </w:tc>
      </w:tr>
      <w:tr w:rsidR="00102CB2" w:rsidRPr="002802E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3F143C">
            <w:pPr>
              <w:tabs>
                <w:tab w:val="right" w:pos="3828"/>
              </w:tabs>
              <w:spacing w:line="240" w:lineRule="auto"/>
              <w:ind w:left="57"/>
              <w:rPr>
                <w:rFonts w:eastAsia="Arial Unicode MS" w:cs="Arial Unicode MS"/>
                <w:b/>
                <w:bCs/>
                <w:sz w:val="20"/>
                <w:szCs w:val="20"/>
              </w:rPr>
            </w:pPr>
            <w:r>
              <w:rPr>
                <w:b/>
                <w:bCs/>
                <w:sz w:val="20"/>
                <w:szCs w:val="20"/>
              </w:rPr>
              <w:t>Überschuss</w:t>
            </w:r>
            <w:r>
              <w:rPr>
                <w:sz w:val="16"/>
              </w:rPr>
              <w:t xml:space="preserve"> </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3F143C">
            <w:pPr>
              <w:spacing w:line="240" w:lineRule="auto"/>
              <w:jc w:val="right"/>
              <w:rPr>
                <w:sz w:val="20"/>
                <w:szCs w:val="20"/>
              </w:rPr>
            </w:pPr>
            <w:r>
              <w:rPr>
                <w:sz w:val="20"/>
                <w:szCs w:val="20"/>
              </w:rPr>
              <w:t>1.809</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3F143C">
            <w:pPr>
              <w:spacing w:line="240" w:lineRule="auto"/>
              <w:jc w:val="right"/>
              <w:rPr>
                <w:sz w:val="20"/>
                <w:szCs w:val="20"/>
              </w:rPr>
            </w:pPr>
            <w:r>
              <w:rPr>
                <w:sz w:val="20"/>
                <w:szCs w:val="20"/>
              </w:rPr>
              <w:t>834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3F143C">
            <w:pPr>
              <w:spacing w:line="240" w:lineRule="auto"/>
              <w:jc w:val="right"/>
              <w:rPr>
                <w:sz w:val="20"/>
                <w:szCs w:val="20"/>
              </w:rPr>
            </w:pPr>
            <w:r>
              <w:rPr>
                <w:sz w:val="20"/>
                <w:szCs w:val="20"/>
              </w:rPr>
              <w:t>-</w:t>
            </w:r>
          </w:p>
        </w:tc>
      </w:tr>
      <w:tr w:rsidR="00102CB2" w:rsidRPr="002802E4" w:rsidTr="003F143C">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8616A0">
            <w:pPr>
              <w:tabs>
                <w:tab w:val="right" w:pos="3828"/>
              </w:tabs>
              <w:spacing w:line="240" w:lineRule="auto"/>
              <w:ind w:left="57"/>
              <w:rPr>
                <w:rFonts w:eastAsia="Arial Unicode MS" w:cs="Arial Unicode MS"/>
                <w:b/>
                <w:bCs/>
                <w:sz w:val="20"/>
                <w:szCs w:val="20"/>
              </w:rPr>
            </w:pPr>
            <w:r>
              <w:rPr>
                <w:b/>
                <w:bCs/>
                <w:sz w:val="20"/>
                <w:szCs w:val="20"/>
              </w:rPr>
              <w:t>Ergebnis pro Aktie</w:t>
            </w:r>
            <w:r w:rsidR="008616A0">
              <w:rPr>
                <w:rStyle w:val="Funotenzeichen"/>
                <w:b/>
                <w:bCs/>
                <w:szCs w:val="20"/>
              </w:rPr>
              <w:footnoteReference w:id="3"/>
            </w:r>
            <w:r>
              <w:rPr>
                <w:b/>
                <w:bCs/>
                <w:sz w:val="20"/>
                <w:szCs w:val="20"/>
              </w:rPr>
              <w:t xml:space="preserve"> </w:t>
            </w:r>
            <w:r>
              <w:rPr>
                <w:b/>
                <w:bCs/>
                <w:sz w:val="20"/>
                <w:szCs w:val="20"/>
              </w:rPr>
              <w:tab/>
            </w:r>
            <w:r>
              <w:rPr>
                <w:sz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BF34DC" w:rsidP="003F143C">
            <w:pPr>
              <w:spacing w:line="240" w:lineRule="auto"/>
              <w:jc w:val="right"/>
              <w:rPr>
                <w:sz w:val="20"/>
                <w:szCs w:val="20"/>
              </w:rPr>
            </w:pPr>
            <w:r>
              <w:rPr>
                <w:sz w:val="20"/>
                <w:szCs w:val="20"/>
              </w:rPr>
              <w:t>2,75/2,76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102CB2" w:rsidP="003F143C">
            <w:pPr>
              <w:spacing w:line="240" w:lineRule="auto"/>
              <w:jc w:val="right"/>
              <w:rPr>
                <w:sz w:val="20"/>
                <w:szCs w:val="20"/>
              </w:rPr>
            </w:pPr>
            <w:r>
              <w:rPr>
                <w:sz w:val="20"/>
                <w:szCs w:val="20"/>
              </w:rPr>
              <w:t>1,27/1,28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102CB2" w:rsidRDefault="00BF34DC" w:rsidP="003F143C">
            <w:pPr>
              <w:spacing w:line="240" w:lineRule="auto"/>
              <w:jc w:val="right"/>
              <w:rPr>
                <w:sz w:val="20"/>
                <w:szCs w:val="20"/>
              </w:rPr>
            </w:pPr>
            <w:r>
              <w:rPr>
                <w:sz w:val="20"/>
                <w:szCs w:val="20"/>
              </w:rPr>
              <w:t>-</w:t>
            </w:r>
          </w:p>
        </w:tc>
      </w:tr>
      <w:tr w:rsidR="008616A0" w:rsidRPr="00C86774" w:rsidTr="003F143C">
        <w:trPr>
          <w:trHeight w:val="264"/>
        </w:trPr>
        <w:tc>
          <w:tcPr>
            <w:tcW w:w="8832" w:type="dxa"/>
            <w:gridSpan w:val="4"/>
            <w:noWrap/>
            <w:tcMar>
              <w:top w:w="12" w:type="dxa"/>
              <w:left w:w="12" w:type="dxa"/>
              <w:bottom w:w="0" w:type="dxa"/>
              <w:right w:w="12" w:type="dxa"/>
            </w:tcMar>
            <w:vAlign w:val="bottom"/>
          </w:tcPr>
          <w:p w:rsidR="008616A0" w:rsidRDefault="008616A0" w:rsidP="008616A0">
            <w:pPr>
              <w:tabs>
                <w:tab w:val="clear" w:pos="454"/>
                <w:tab w:val="left" w:pos="142"/>
              </w:tabs>
              <w:spacing w:before="40" w:after="40" w:line="240" w:lineRule="auto"/>
              <w:ind w:left="142" w:hanging="142"/>
              <w:rPr>
                <w:sz w:val="16"/>
              </w:rPr>
            </w:pPr>
          </w:p>
        </w:tc>
      </w:tr>
      <w:tr w:rsidR="008616A0" w:rsidRPr="00C86774" w:rsidTr="003F143C">
        <w:trPr>
          <w:trHeight w:val="264"/>
        </w:trPr>
        <w:tc>
          <w:tcPr>
            <w:tcW w:w="8832" w:type="dxa"/>
            <w:gridSpan w:val="4"/>
            <w:noWrap/>
            <w:tcMar>
              <w:top w:w="12" w:type="dxa"/>
              <w:left w:w="12" w:type="dxa"/>
              <w:bottom w:w="0" w:type="dxa"/>
              <w:right w:w="12" w:type="dxa"/>
            </w:tcMar>
            <w:vAlign w:val="bottom"/>
          </w:tcPr>
          <w:p w:rsidR="008616A0" w:rsidRPr="008616A0" w:rsidRDefault="008616A0" w:rsidP="008616A0">
            <w:pPr>
              <w:tabs>
                <w:tab w:val="clear" w:pos="454"/>
                <w:tab w:val="left" w:pos="142"/>
              </w:tabs>
              <w:spacing w:before="40" w:after="40" w:line="240" w:lineRule="auto"/>
              <w:ind w:left="142" w:hanging="142"/>
              <w:rPr>
                <w:sz w:val="16"/>
                <w:vertAlign w:val="superscript"/>
              </w:rPr>
            </w:pPr>
          </w:p>
        </w:tc>
      </w:tr>
      <w:tr w:rsidR="008616A0" w:rsidRPr="0087546C" w:rsidTr="003F143C">
        <w:trPr>
          <w:trHeight w:val="264"/>
        </w:trPr>
        <w:tc>
          <w:tcPr>
            <w:tcW w:w="8832" w:type="dxa"/>
            <w:gridSpan w:val="4"/>
            <w:noWrap/>
            <w:tcMar>
              <w:top w:w="12" w:type="dxa"/>
              <w:left w:w="12" w:type="dxa"/>
              <w:bottom w:w="0" w:type="dxa"/>
              <w:right w:w="12" w:type="dxa"/>
            </w:tcMar>
            <w:vAlign w:val="bottom"/>
          </w:tcPr>
          <w:p w:rsidR="008616A0" w:rsidRDefault="008616A0" w:rsidP="0025397B">
            <w:pPr>
              <w:tabs>
                <w:tab w:val="clear" w:pos="454"/>
                <w:tab w:val="clear" w:pos="4706"/>
                <w:tab w:val="left" w:pos="142"/>
              </w:tabs>
              <w:spacing w:before="40" w:after="40" w:line="240" w:lineRule="auto"/>
              <w:rPr>
                <w:sz w:val="16"/>
              </w:rPr>
            </w:pPr>
          </w:p>
        </w:tc>
      </w:tr>
      <w:tr w:rsidR="008616A0" w:rsidRPr="008007B7" w:rsidTr="000D795D">
        <w:trPr>
          <w:trHeight w:val="264"/>
        </w:trPr>
        <w:tc>
          <w:tcPr>
            <w:tcW w:w="3981" w:type="dxa"/>
            <w:tcBorders>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berschrift5"/>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8616A0">
            <w:pPr>
              <w:pStyle w:val="Fliesstext"/>
              <w:jc w:val="right"/>
              <w:rPr>
                <w:rFonts w:eastAsia="Arial Unicode MS" w:cs="Arial Unicode MS"/>
                <w:b/>
                <w:bCs/>
                <w:sz w:val="20"/>
                <w:szCs w:val="20"/>
              </w:rPr>
            </w:pPr>
            <w:r>
              <w:rPr>
                <w:rFonts w:eastAsia="Arial Unicode MS" w:cs="Arial Unicode MS"/>
                <w:b/>
                <w:bCs/>
                <w:sz w:val="20"/>
                <w:szCs w:val="20"/>
              </w:rPr>
              <w:t>1. Halbjahr 11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Fliesstext"/>
              <w:jc w:val="right"/>
              <w:rPr>
                <w:rFonts w:eastAsia="Arial Unicode MS" w:cs="Arial Unicode MS"/>
                <w:b/>
                <w:bCs/>
                <w:sz w:val="20"/>
                <w:szCs w:val="20"/>
              </w:rPr>
            </w:pPr>
            <w:r>
              <w:rPr>
                <w:rFonts w:eastAsia="Arial Unicode MS" w:cs="Arial Unicode MS"/>
                <w:b/>
                <w:bCs/>
                <w:sz w:val="20"/>
                <w:szCs w:val="20"/>
              </w:rPr>
              <w:t>1. Halbjahr 10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rFonts w:eastAsia="Arial Unicode MS" w:cs="Arial Unicode MS"/>
                <w:b/>
                <w:bCs/>
                <w:sz w:val="20"/>
                <w:szCs w:val="20"/>
              </w:rPr>
            </w:pPr>
            <w:r>
              <w:rPr>
                <w:rFonts w:eastAsia="Arial Unicode MS" w:cs="Arial Unicode MS"/>
                <w:b/>
                <w:bCs/>
                <w:sz w:val="20"/>
                <w:szCs w:val="20"/>
              </w:rPr>
              <w:t>Veränderung</w:t>
            </w:r>
          </w:p>
          <w:p w:rsidR="008616A0" w:rsidRDefault="008616A0" w:rsidP="000D795D">
            <w:pPr>
              <w:spacing w:line="240" w:lineRule="auto"/>
              <w:jc w:val="right"/>
              <w:rPr>
                <w:rFonts w:eastAsia="Arial Unicode MS" w:cs="Arial Unicode MS"/>
                <w:b/>
                <w:bCs/>
                <w:sz w:val="20"/>
                <w:szCs w:val="20"/>
              </w:rPr>
            </w:pPr>
            <w:r>
              <w:rPr>
                <w:rFonts w:eastAsia="Arial Unicode MS" w:cs="Arial Unicode MS"/>
                <w:b/>
                <w:bCs/>
                <w:sz w:val="20"/>
                <w:szCs w:val="20"/>
              </w:rPr>
              <w:t xml:space="preserve"> in %</w:t>
            </w:r>
          </w:p>
        </w:tc>
      </w:tr>
      <w:tr w:rsidR="008616A0" w:rsidRPr="008007B7"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berschrift6"/>
              <w:tabs>
                <w:tab w:val="right" w:pos="3828"/>
              </w:tabs>
              <w:ind w:left="57"/>
              <w:rPr>
                <w:rFonts w:ascii="BMWTypeLight" w:hAnsi="BMWTypeLight"/>
              </w:rPr>
            </w:pPr>
            <w:r>
              <w:rPr>
                <w:rFonts w:ascii="BMWTypeLight" w:hAnsi="BMWTypeLight"/>
              </w:rPr>
              <w:t>Fahrzeug-Auslieferungen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r>
      <w:tr w:rsidR="008616A0" w:rsidRPr="008007B7"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berschrift6"/>
              <w:tabs>
                <w:tab w:val="right" w:pos="3828"/>
              </w:tabs>
              <w:ind w:left="57"/>
              <w:rPr>
                <w:rFonts w:ascii="BMWTypeLight" w:hAnsi="BMWTypeLight"/>
                <w:b w:val="0"/>
                <w:bCs w:val="0"/>
              </w:rPr>
            </w:pPr>
            <w:r>
              <w:rPr>
                <w:rFonts w:ascii="BMWTypeLight" w:hAnsi="BMWTypeLight"/>
                <w:b w:val="0"/>
                <w:bCs w:val="0"/>
              </w:rPr>
              <w:t>Automobile</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833.366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696.026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19,7</w:t>
            </w:r>
          </w:p>
        </w:tc>
      </w:tr>
      <w:tr w:rsidR="008616A0" w:rsidTr="000D795D">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Pr>
                <w:sz w:val="20"/>
                <w:szCs w:val="20"/>
              </w:rPr>
              <w:t>Davon:</w:t>
            </w:r>
          </w:p>
          <w:p w:rsidR="008616A0" w:rsidRDefault="008616A0" w:rsidP="000D795D">
            <w:pPr>
              <w:tabs>
                <w:tab w:val="right" w:pos="3828"/>
              </w:tabs>
              <w:spacing w:line="240" w:lineRule="auto"/>
              <w:ind w:left="57"/>
              <w:rPr>
                <w:rFonts w:eastAsia="Arial Unicode MS" w:cs="Arial Unicode MS"/>
                <w:sz w:val="20"/>
                <w:szCs w:val="20"/>
              </w:rPr>
            </w:pPr>
            <w:r>
              <w:rPr>
                <w:sz w:val="20"/>
                <w:szCs w:val="20"/>
              </w:rPr>
              <w:t xml:space="preserve">   BMW</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689.861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585.755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17,8</w:t>
            </w:r>
          </w:p>
        </w:tc>
      </w:tr>
      <w:tr w:rsidR="008616A0" w:rsidTr="000D795D">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Pr>
                <w:sz w:val="20"/>
                <w:szCs w:val="20"/>
              </w:rPr>
              <w:t xml:space="preserve">   MINI</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141.913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109.301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29,8</w:t>
            </w:r>
          </w:p>
        </w:tc>
      </w:tr>
      <w:tr w:rsidR="008616A0" w:rsidTr="000D795D">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Pr>
                <w:sz w:val="20"/>
                <w:szCs w:val="20"/>
              </w:rPr>
              <w:t xml:space="preserve">   Rolls-Royce</w:t>
            </w:r>
            <w:r>
              <w:t xml:space="preserve"> </w:t>
            </w:r>
            <w: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1.592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970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64,1</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rFonts w:eastAsia="Arial Unicode MS" w:cs="Arial Unicode MS"/>
                <w:sz w:val="20"/>
                <w:szCs w:val="20"/>
              </w:rPr>
            </w:pPr>
            <w:r>
              <w:rPr>
                <w:sz w:val="20"/>
                <w:szCs w:val="20"/>
              </w:rPr>
              <w:t xml:space="preserve">  Motorräder</w:t>
            </w:r>
            <w:r>
              <w:rPr>
                <w:sz w:val="20"/>
                <w:szCs w:val="20"/>
                <w:vertAlign w:val="superscript"/>
              </w:rPr>
              <w:tab/>
            </w:r>
            <w:r>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64.110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61.674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3,9</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Pr>
                <w:sz w:val="20"/>
                <w:szCs w:val="20"/>
              </w:rPr>
              <w:t>Davon:</w:t>
            </w:r>
          </w:p>
          <w:p w:rsidR="008616A0" w:rsidRDefault="008616A0" w:rsidP="000D795D">
            <w:pPr>
              <w:tabs>
                <w:tab w:val="right" w:pos="3828"/>
              </w:tabs>
              <w:spacing w:line="240" w:lineRule="auto"/>
              <w:ind w:left="57"/>
              <w:rPr>
                <w:rFonts w:eastAsia="Arial Unicode MS" w:cs="Arial Unicode MS"/>
                <w:sz w:val="20"/>
                <w:szCs w:val="20"/>
              </w:rPr>
            </w:pPr>
            <w:r>
              <w:rPr>
                <w:sz w:val="20"/>
                <w:szCs w:val="20"/>
              </w:rPr>
              <w:t xml:space="preserve">  BMW                                                  </w:t>
            </w:r>
            <w:r w:rsidRPr="00B013B2">
              <w:rPr>
                <w:rFonts w:eastAsia="Arial Unicode MS" w:cs="Arial Unicode MS"/>
                <w:sz w:val="16"/>
                <w:szCs w:val="20"/>
              </w:rPr>
              <w:t>Einheiten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60.580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57.015</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6,3</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Pr>
                <w:sz w:val="20"/>
                <w:szCs w:val="20"/>
              </w:rPr>
              <w:t xml:space="preserve">  Husqvarna                                         </w:t>
            </w:r>
            <w:r w:rsidRPr="000C4D09">
              <w:rPr>
                <w:rFonts w:eastAsia="Arial Unicode MS" w:cs="Arial Unicode MS"/>
                <w:sz w:val="16"/>
                <w:szCs w:val="20"/>
              </w:rPr>
              <w:t>Einheite</w:t>
            </w:r>
            <w:r>
              <w:rPr>
                <w:sz w:val="20"/>
                <w:szCs w:val="20"/>
              </w:rPr>
              <w:t>n</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3.530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4.659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-24,2</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berschrift6"/>
              <w:tabs>
                <w:tab w:val="right" w:pos="3828"/>
              </w:tabs>
              <w:ind w:left="57"/>
              <w:rPr>
                <w:rFonts w:ascii="BMWTypeLight" w:hAnsi="BMWTypeLight"/>
              </w:rPr>
            </w:pP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B327B4">
            <w:pPr>
              <w:tabs>
                <w:tab w:val="right" w:pos="3828"/>
              </w:tabs>
              <w:spacing w:line="240" w:lineRule="auto"/>
              <w:ind w:left="57"/>
              <w:rPr>
                <w:rFonts w:eastAsia="Arial Unicode MS" w:cs="Arial Unicode MS"/>
                <w:b/>
                <w:bCs/>
                <w:sz w:val="20"/>
                <w:szCs w:val="20"/>
              </w:rPr>
            </w:pPr>
            <w:r>
              <w:rPr>
                <w:b/>
                <w:bCs/>
                <w:sz w:val="20"/>
                <w:szCs w:val="20"/>
              </w:rPr>
              <w:t>Mitarbeiter am Quartalsende</w:t>
            </w:r>
            <w:r w:rsidR="00B327B4">
              <w:rPr>
                <w:rStyle w:val="Funotenzeichen"/>
                <w:b/>
                <w:bCs/>
                <w:szCs w:val="20"/>
              </w:rPr>
              <w:footnoteReference w:id="4"/>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96.943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95.502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1,5</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rFonts w:eastAsia="Arial Unicode MS" w:cs="Arial Unicode MS"/>
                <w:sz w:val="20"/>
                <w:szCs w:val="20"/>
              </w:rPr>
            </w:pPr>
            <w:r w:rsidRPr="005A58C8">
              <w:rPr>
                <w:b/>
                <w:bCs/>
                <w:sz w:val="20"/>
                <w:szCs w:val="20"/>
              </w:rPr>
              <w:t>Operativer Cashflow</w:t>
            </w:r>
            <w:r w:rsidR="00B327B4">
              <w:rPr>
                <w:rStyle w:val="Funotenzeichen"/>
                <w:b/>
                <w:bCs/>
                <w:szCs w:val="20"/>
              </w:rPr>
              <w:footnoteReference w:id="5"/>
            </w:r>
            <w:r>
              <w:rPr>
                <w:b/>
                <w:bCs/>
                <w:sz w:val="20"/>
                <w:szCs w:val="20"/>
              </w:rPr>
              <w:t xml:space="preserve">                      </w:t>
            </w:r>
            <w:r w:rsidRPr="005A58C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4.227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2.408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75,5</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rFonts w:eastAsia="Arial Unicode MS" w:cs="Arial Unicode MS"/>
                <w:b/>
                <w:bCs/>
                <w:sz w:val="20"/>
                <w:szCs w:val="20"/>
              </w:rPr>
            </w:pPr>
            <w:r>
              <w:rPr>
                <w:b/>
                <w:bCs/>
                <w:sz w:val="20"/>
                <w:szCs w:val="20"/>
              </w:rPr>
              <w:t>Umsatz</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33.925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27.791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22,1</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17483" w:rsidRDefault="008616A0" w:rsidP="000D795D">
            <w:pPr>
              <w:tabs>
                <w:tab w:val="right" w:pos="3828"/>
              </w:tabs>
              <w:spacing w:line="240" w:lineRule="auto"/>
              <w:ind w:left="57"/>
              <w:rPr>
                <w:bCs/>
                <w:sz w:val="20"/>
                <w:szCs w:val="20"/>
              </w:rPr>
            </w:pPr>
            <w:r w:rsidRPr="00817483">
              <w:rPr>
                <w:bCs/>
                <w:sz w:val="20"/>
                <w:szCs w:val="20"/>
              </w:rPr>
              <w:t>Davon:</w:t>
            </w:r>
          </w:p>
          <w:p w:rsidR="008616A0" w:rsidRDefault="008616A0" w:rsidP="000D795D">
            <w:pPr>
              <w:tabs>
                <w:tab w:val="right" w:pos="3828"/>
              </w:tabs>
              <w:spacing w:line="240" w:lineRule="auto"/>
              <w:ind w:left="57"/>
              <w:rPr>
                <w:b/>
                <w:bCs/>
                <w:sz w:val="20"/>
                <w:szCs w:val="20"/>
              </w:rPr>
            </w:pPr>
            <w:r w:rsidRPr="00817483">
              <w:rPr>
                <w:bCs/>
                <w:sz w:val="20"/>
                <w:szCs w:val="20"/>
              </w:rPr>
              <w:t>Automobile</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31.047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24.341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27,6</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17483" w:rsidRDefault="008616A0" w:rsidP="000D795D">
            <w:pPr>
              <w:tabs>
                <w:tab w:val="right" w:pos="3828"/>
              </w:tabs>
              <w:spacing w:line="240" w:lineRule="auto"/>
              <w:ind w:left="57"/>
              <w:rPr>
                <w:bCs/>
                <w:sz w:val="20"/>
                <w:szCs w:val="20"/>
              </w:rPr>
            </w:pPr>
            <w:r w:rsidRPr="00817483">
              <w:rPr>
                <w:bCs/>
                <w:sz w:val="20"/>
                <w:szCs w:val="20"/>
              </w:rPr>
              <w:t>Motorräder</w:t>
            </w:r>
            <w:r w:rsidRPr="00817483">
              <w:rPr>
                <w:sz w:val="16"/>
              </w:rPr>
              <w:t xml:space="preserve"> </w:t>
            </w:r>
            <w:r>
              <w:rPr>
                <w:sz w:val="16"/>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847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790</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7,2</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17483" w:rsidRDefault="008616A0" w:rsidP="000D795D">
            <w:pPr>
              <w:tabs>
                <w:tab w:val="right" w:pos="3828"/>
              </w:tabs>
              <w:spacing w:line="240" w:lineRule="auto"/>
              <w:ind w:left="57"/>
              <w:rPr>
                <w:bCs/>
                <w:sz w:val="20"/>
                <w:szCs w:val="20"/>
              </w:rPr>
            </w:pPr>
            <w:r w:rsidRPr="00817483">
              <w:rPr>
                <w:bCs/>
                <w:sz w:val="20"/>
                <w:szCs w:val="20"/>
              </w:rPr>
              <w:t>Finanzdienstleistungen</w:t>
            </w:r>
            <w:r>
              <w:rPr>
                <w:bCs/>
                <w:sz w:val="20"/>
                <w:szCs w:val="20"/>
              </w:rPr>
              <w:t xml:space="preserve">                     </w:t>
            </w:r>
            <w:r w:rsidRPr="00817483">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8.364</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8.202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2,0</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sz w:val="20"/>
                <w:szCs w:val="20"/>
              </w:rPr>
            </w:pPr>
            <w:r w:rsidRPr="00511C2B">
              <w:rPr>
                <w:bCs/>
                <w:sz w:val="20"/>
                <w:szCs w:val="20"/>
              </w:rPr>
              <w:t xml:space="preserve">Konsolidierungen   </w:t>
            </w:r>
            <w:r w:rsidRPr="00511C2B">
              <w:rPr>
                <w:sz w:val="16"/>
              </w:rPr>
              <w:t xml:space="preserve">                            </w:t>
            </w:r>
            <w:r>
              <w:rPr>
                <w:sz w:val="16"/>
              </w:rPr>
              <w:t xml:space="preserve">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-6.335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-5.544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tabs>
                <w:tab w:val="right" w:pos="3828"/>
              </w:tabs>
              <w:spacing w:line="240" w:lineRule="auto"/>
              <w:ind w:left="57"/>
              <w:rPr>
                <w:b/>
                <w:bCs/>
                <w:sz w:val="20"/>
                <w:szCs w:val="20"/>
              </w:rPr>
            </w:pPr>
            <w:r>
              <w:rPr>
                <w:b/>
                <w:bCs/>
                <w:sz w:val="20"/>
                <w:szCs w:val="20"/>
              </w:rPr>
              <w:t>Ergebnis vor Finanzergebnis</w:t>
            </w:r>
            <w:r>
              <w:rPr>
                <w:sz w:val="16"/>
              </w:rPr>
              <w:t xml:space="preserve">      Mio. Euro</w:t>
            </w:r>
            <w:r w:rsidRPr="009C4854">
              <w:rPr>
                <w:sz w:val="16"/>
              </w:rPr>
              <w:t xml:space="preserve">                    </w:t>
            </w:r>
            <w:r>
              <w:rPr>
                <w:sz w:val="16"/>
              </w:rPr>
              <w:t xml:space="preserve">                             </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4.758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2.166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w:t>
            </w:r>
          </w:p>
        </w:tc>
      </w:tr>
      <w:tr w:rsidR="008616A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B2E78" w:rsidRDefault="008616A0" w:rsidP="000D795D">
            <w:pPr>
              <w:tabs>
                <w:tab w:val="right" w:pos="3828"/>
              </w:tabs>
              <w:spacing w:line="240" w:lineRule="auto"/>
              <w:ind w:left="57"/>
              <w:rPr>
                <w:bCs/>
                <w:sz w:val="20"/>
                <w:szCs w:val="20"/>
              </w:rPr>
            </w:pPr>
            <w:r w:rsidRPr="008B2E78">
              <w:rPr>
                <w:bCs/>
                <w:sz w:val="20"/>
                <w:szCs w:val="20"/>
              </w:rPr>
              <w:t>Davon:</w:t>
            </w:r>
          </w:p>
          <w:p w:rsidR="008616A0" w:rsidRPr="009C4854" w:rsidRDefault="008616A0" w:rsidP="000D795D">
            <w:pPr>
              <w:tabs>
                <w:tab w:val="right" w:pos="3828"/>
              </w:tabs>
              <w:spacing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4.116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1.608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455522"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B2E78" w:rsidRDefault="008616A0" w:rsidP="000D795D">
            <w:pPr>
              <w:tabs>
                <w:tab w:val="right" w:pos="3828"/>
              </w:tabs>
              <w:spacing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-9,3</w:t>
            </w:r>
          </w:p>
        </w:tc>
      </w:tr>
      <w:tr w:rsidR="008616A0" w:rsidRPr="00455522"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1.142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592</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92,9</w:t>
            </w:r>
          </w:p>
        </w:tc>
      </w:tr>
      <w:tr w:rsidR="008616A0" w:rsidRPr="00455522"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bCs/>
                <w:sz w:val="20"/>
                <w:szCs w:val="20"/>
              </w:rPr>
            </w:pPr>
            <w:r>
              <w:rPr>
                <w:bCs/>
                <w:sz w:val="20"/>
                <w:szCs w:val="20"/>
              </w:rPr>
              <w:t xml:space="preserve">Sonstige Gesellschaften                    </w:t>
            </w:r>
            <w:r w:rsidRPr="00D11F36">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38</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-74</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455522"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17483" w:rsidRDefault="008616A0" w:rsidP="000D795D">
            <w:pPr>
              <w:tabs>
                <w:tab w:val="right" w:pos="3828"/>
              </w:tabs>
              <w:spacing w:line="240" w:lineRule="auto"/>
              <w:ind w:left="57"/>
              <w:rPr>
                <w:bCs/>
                <w:sz w:val="20"/>
                <w:szCs w:val="20"/>
              </w:rPr>
            </w:pPr>
            <w:r>
              <w:rPr>
                <w:bCs/>
                <w:sz w:val="20"/>
                <w:szCs w:val="20"/>
              </w:rPr>
              <w:t xml:space="preserve">Konsolidierungen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-46</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455522"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F233F0" w:rsidRDefault="008616A0" w:rsidP="000D795D">
            <w:pPr>
              <w:tabs>
                <w:tab w:val="right" w:pos="3828"/>
              </w:tabs>
              <w:spacing w:line="240" w:lineRule="auto"/>
              <w:ind w:left="57"/>
              <w:rPr>
                <w:b/>
                <w:bCs/>
                <w:sz w:val="20"/>
                <w:szCs w:val="20"/>
              </w:rPr>
            </w:pPr>
            <w:r w:rsidRPr="00F233F0">
              <w:rPr>
                <w:b/>
                <w:bCs/>
                <w:sz w:val="20"/>
                <w:szCs w:val="20"/>
              </w:rPr>
              <w:t>Ergebnis vor Steuern</w:t>
            </w:r>
            <w:r>
              <w:rPr>
                <w:b/>
                <w:bCs/>
                <w:sz w:val="20"/>
                <w:szCs w:val="20"/>
              </w:rPr>
              <w:t xml:space="preserve">                     </w:t>
            </w:r>
            <w:r>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4.516</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1.807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9C485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B2E78" w:rsidRDefault="008616A0" w:rsidP="000D795D">
            <w:pPr>
              <w:tabs>
                <w:tab w:val="right" w:pos="3828"/>
              </w:tabs>
              <w:spacing w:line="240" w:lineRule="auto"/>
              <w:ind w:left="57"/>
              <w:rPr>
                <w:bCs/>
                <w:sz w:val="20"/>
                <w:szCs w:val="20"/>
              </w:rPr>
            </w:pPr>
            <w:r w:rsidRPr="008B2E78">
              <w:rPr>
                <w:bCs/>
                <w:sz w:val="20"/>
                <w:szCs w:val="20"/>
              </w:rPr>
              <w:t>Davon:</w:t>
            </w:r>
          </w:p>
          <w:p w:rsidR="008616A0" w:rsidRPr="009C4854" w:rsidRDefault="008616A0" w:rsidP="000D795D">
            <w:pPr>
              <w:tabs>
                <w:tab w:val="right" w:pos="3828"/>
              </w:tabs>
              <w:spacing w:line="240" w:lineRule="auto"/>
              <w:ind w:left="57"/>
              <w:rPr>
                <w:b/>
                <w:bCs/>
                <w:sz w:val="20"/>
                <w:szCs w:val="20"/>
              </w:rPr>
            </w:pPr>
            <w:r w:rsidRPr="008B2E78">
              <w:rPr>
                <w:bCs/>
                <w:sz w:val="20"/>
                <w:szCs w:val="20"/>
              </w:rPr>
              <w:t>Automobile</w:t>
            </w:r>
            <w:r>
              <w:rPr>
                <w:bCs/>
                <w:sz w:val="20"/>
                <w:szCs w:val="20"/>
              </w:rPr>
              <w:t xml:space="preserve">                                         </w:t>
            </w:r>
            <w:r w:rsidRPr="008B2E78">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3.902</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1.158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9C4854" w:rsidRDefault="008616A0" w:rsidP="000D795D">
            <w:pPr>
              <w:spacing w:line="240" w:lineRule="auto"/>
              <w:jc w:val="right"/>
              <w:rPr>
                <w:sz w:val="20"/>
                <w:szCs w:val="20"/>
              </w:rPr>
            </w:pPr>
            <w:r>
              <w:rPr>
                <w:sz w:val="20"/>
                <w:szCs w:val="20"/>
              </w:rPr>
              <w:t>-</w:t>
            </w:r>
          </w:p>
        </w:tc>
      </w:tr>
      <w:tr w:rsidR="008616A0" w:rsidRPr="009C485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Pr="008B2E78" w:rsidRDefault="008616A0" w:rsidP="000D795D">
            <w:pPr>
              <w:tabs>
                <w:tab w:val="right" w:pos="3828"/>
              </w:tabs>
              <w:spacing w:line="240" w:lineRule="auto"/>
              <w:ind w:left="57"/>
              <w:rPr>
                <w:bCs/>
                <w:sz w:val="20"/>
                <w:szCs w:val="20"/>
              </w:rPr>
            </w:pPr>
            <w:r>
              <w:rPr>
                <w:bCs/>
                <w:sz w:val="20"/>
                <w:szCs w:val="20"/>
              </w:rPr>
              <w:t xml:space="preserve">Motorräder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77</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83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-7,2</w:t>
            </w:r>
          </w:p>
        </w:tc>
      </w:tr>
      <w:tr w:rsidR="008616A0" w:rsidRPr="009C485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bCs/>
                <w:sz w:val="20"/>
                <w:szCs w:val="20"/>
              </w:rPr>
            </w:pPr>
            <w:r>
              <w:rPr>
                <w:bCs/>
                <w:sz w:val="20"/>
                <w:szCs w:val="20"/>
              </w:rPr>
              <w:t xml:space="preserve">Finanzdienstleistungen                      </w:t>
            </w:r>
            <w:r w:rsidRPr="00775D64">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1.173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601</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95,2</w:t>
            </w:r>
          </w:p>
        </w:tc>
      </w:tr>
      <w:tr w:rsidR="008616A0" w:rsidRPr="009C485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bCs/>
                <w:sz w:val="20"/>
                <w:szCs w:val="20"/>
              </w:rPr>
            </w:pPr>
            <w:r>
              <w:rPr>
                <w:bCs/>
                <w:sz w:val="20"/>
                <w:szCs w:val="20"/>
              </w:rPr>
              <w:t xml:space="preserve">Sonstige Gesellschaften                    </w:t>
            </w:r>
            <w:r w:rsidRPr="00D11F36">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D11F36">
            <w:pPr>
              <w:spacing w:line="240" w:lineRule="auto"/>
              <w:rPr>
                <w:sz w:val="20"/>
                <w:szCs w:val="20"/>
              </w:rPr>
            </w:pPr>
            <w:r>
              <w:rPr>
                <w:sz w:val="20"/>
                <w:szCs w:val="20"/>
              </w:rPr>
              <w:t xml:space="preserve">                        -83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-73</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-13,7</w:t>
            </w:r>
          </w:p>
        </w:tc>
      </w:tr>
      <w:tr w:rsidR="008616A0" w:rsidRPr="009C485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bCs/>
                <w:sz w:val="20"/>
                <w:szCs w:val="20"/>
              </w:rPr>
            </w:pPr>
            <w:r>
              <w:rPr>
                <w:bCs/>
                <w:sz w:val="20"/>
                <w:szCs w:val="20"/>
              </w:rPr>
              <w:t xml:space="preserve">Konsolidierungen                               </w:t>
            </w:r>
            <w:r w:rsidRPr="00511C2B">
              <w:rPr>
                <w:sz w:val="16"/>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-553</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F233F0"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pStyle w:val="berschrift6"/>
              <w:tabs>
                <w:tab w:val="right" w:pos="3828"/>
              </w:tabs>
              <w:ind w:left="57"/>
              <w:rPr>
                <w:rFonts w:ascii="BMWTypeLight" w:hAnsi="BMWTypeLight"/>
                <w:b w:val="0"/>
                <w:bCs w:val="0"/>
              </w:rPr>
            </w:pPr>
            <w:r>
              <w:rPr>
                <w:rFonts w:ascii="BMWTypeLight" w:hAnsi="BMWTypeLight"/>
              </w:rPr>
              <w:t>Steuern auf das Ergebnis</w:t>
            </w:r>
            <w:r>
              <w:rPr>
                <w:rFonts w:ascii="BMWTypeLight" w:hAnsi="BMWTypeLight"/>
                <w:sz w:val="16"/>
              </w:rPr>
              <w:t xml:space="preserve"> </w:t>
            </w:r>
            <w:r>
              <w:rPr>
                <w:rFonts w:ascii="BMWTypeLight" w:hAnsi="BMWTypeLight"/>
                <w:sz w:val="16"/>
              </w:rPr>
              <w:tab/>
            </w:r>
            <w:r>
              <w:rPr>
                <w:rFonts w:ascii="BMWTypeLight" w:eastAsia="Times New Roman" w:hAnsi="BMWTypeLight" w:cs="Times New Roman"/>
                <w:b w:val="0"/>
                <w:bCs w:val="0"/>
                <w:sz w:val="16"/>
                <w:szCs w:val="24"/>
              </w:rPr>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-1.495</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-649</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2802E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rFonts w:eastAsia="Arial Unicode MS" w:cs="Arial Unicode MS"/>
                <w:b/>
                <w:bCs/>
                <w:sz w:val="20"/>
                <w:szCs w:val="20"/>
              </w:rPr>
            </w:pPr>
            <w:r>
              <w:rPr>
                <w:b/>
                <w:bCs/>
                <w:sz w:val="20"/>
                <w:szCs w:val="20"/>
              </w:rPr>
              <w:t>Überschuss</w:t>
            </w:r>
            <w:r>
              <w:rPr>
                <w:sz w:val="16"/>
              </w:rPr>
              <w:t xml:space="preserve"> </w:t>
            </w:r>
            <w:r>
              <w:rPr>
                <w:sz w:val="16"/>
              </w:rPr>
              <w:tab/>
              <w:t>Mio. 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3.021</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1.158</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2802E4" w:rsidTr="000D795D">
        <w:trPr>
          <w:trHeight w:val="264"/>
        </w:trPr>
        <w:tc>
          <w:tcPr>
            <w:tcW w:w="3981"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tabs>
                <w:tab w:val="right" w:pos="3828"/>
              </w:tabs>
              <w:spacing w:line="240" w:lineRule="auto"/>
              <w:ind w:left="57"/>
              <w:rPr>
                <w:rFonts w:eastAsia="Arial Unicode MS" w:cs="Arial Unicode MS"/>
                <w:b/>
                <w:bCs/>
                <w:sz w:val="20"/>
                <w:szCs w:val="20"/>
              </w:rPr>
            </w:pPr>
            <w:r>
              <w:rPr>
                <w:b/>
                <w:bCs/>
                <w:sz w:val="20"/>
                <w:szCs w:val="20"/>
              </w:rPr>
              <w:t>Ergebnis pro Aktie</w:t>
            </w:r>
            <w:r>
              <w:rPr>
                <w:rStyle w:val="Funotenzeichen"/>
                <w:b/>
                <w:bCs/>
                <w:szCs w:val="20"/>
              </w:rPr>
              <w:footnoteReference w:id="6"/>
            </w:r>
            <w:r>
              <w:rPr>
                <w:b/>
                <w:bCs/>
                <w:sz w:val="20"/>
                <w:szCs w:val="20"/>
              </w:rPr>
              <w:t xml:space="preserve"> </w:t>
            </w:r>
            <w:r>
              <w:rPr>
                <w:b/>
                <w:bCs/>
                <w:sz w:val="20"/>
                <w:szCs w:val="20"/>
              </w:rPr>
              <w:tab/>
            </w:r>
            <w:r>
              <w:rPr>
                <w:sz w:val="16"/>
              </w:rPr>
              <w:t>Euro</w:t>
            </w:r>
          </w:p>
        </w:tc>
        <w:tc>
          <w:tcPr>
            <w:tcW w:w="1560"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4,59/4,60</w:t>
            </w:r>
          </w:p>
        </w:tc>
        <w:tc>
          <w:tcPr>
            <w:tcW w:w="1559"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1,76/1,77</w:t>
            </w:r>
          </w:p>
        </w:tc>
        <w:tc>
          <w:tcPr>
            <w:tcW w:w="1732"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bottom"/>
          </w:tcPr>
          <w:p w:rsidR="008616A0" w:rsidRDefault="008616A0" w:rsidP="000D795D">
            <w:pPr>
              <w:spacing w:line="240" w:lineRule="auto"/>
              <w:jc w:val="right"/>
              <w:rPr>
                <w:sz w:val="20"/>
                <w:szCs w:val="20"/>
              </w:rPr>
            </w:pPr>
            <w:r>
              <w:rPr>
                <w:sz w:val="20"/>
                <w:szCs w:val="20"/>
              </w:rPr>
              <w:t>-</w:t>
            </w:r>
          </w:p>
        </w:tc>
      </w:tr>
      <w:tr w:rsidR="008616A0" w:rsidRPr="00C86774" w:rsidTr="000D795D">
        <w:trPr>
          <w:trHeight w:val="264"/>
        </w:trPr>
        <w:tc>
          <w:tcPr>
            <w:tcW w:w="8832" w:type="dxa"/>
            <w:gridSpan w:val="4"/>
            <w:noWrap/>
            <w:tcMar>
              <w:top w:w="12" w:type="dxa"/>
              <w:left w:w="12" w:type="dxa"/>
              <w:bottom w:w="0" w:type="dxa"/>
              <w:right w:w="12" w:type="dxa"/>
            </w:tcMar>
            <w:vAlign w:val="bottom"/>
          </w:tcPr>
          <w:p w:rsidR="008616A0" w:rsidRDefault="008616A0" w:rsidP="000D795D">
            <w:pPr>
              <w:tabs>
                <w:tab w:val="clear" w:pos="454"/>
                <w:tab w:val="left" w:pos="142"/>
              </w:tabs>
              <w:spacing w:before="40" w:after="40" w:line="240" w:lineRule="auto"/>
              <w:ind w:left="142" w:hanging="142"/>
              <w:rPr>
                <w:sz w:val="16"/>
              </w:rPr>
            </w:pPr>
          </w:p>
        </w:tc>
      </w:tr>
      <w:tr w:rsidR="008616A0" w:rsidRPr="00C86774" w:rsidTr="000D795D">
        <w:trPr>
          <w:trHeight w:val="264"/>
        </w:trPr>
        <w:tc>
          <w:tcPr>
            <w:tcW w:w="8832" w:type="dxa"/>
            <w:gridSpan w:val="4"/>
            <w:noWrap/>
            <w:tcMar>
              <w:top w:w="12" w:type="dxa"/>
              <w:left w:w="12" w:type="dxa"/>
              <w:bottom w:w="0" w:type="dxa"/>
              <w:right w:w="12" w:type="dxa"/>
            </w:tcMar>
            <w:vAlign w:val="bottom"/>
          </w:tcPr>
          <w:p w:rsidR="008616A0" w:rsidRDefault="008616A0" w:rsidP="000D795D">
            <w:pPr>
              <w:tabs>
                <w:tab w:val="clear" w:pos="454"/>
                <w:tab w:val="left" w:pos="142"/>
              </w:tabs>
              <w:spacing w:before="40" w:after="40" w:line="240" w:lineRule="auto"/>
              <w:ind w:left="142" w:hanging="142"/>
              <w:rPr>
                <w:sz w:val="16"/>
                <w:vertAlign w:val="superscript"/>
              </w:rPr>
            </w:pPr>
          </w:p>
        </w:tc>
      </w:tr>
      <w:tr w:rsidR="008616A0" w:rsidRPr="0087546C" w:rsidTr="000D795D">
        <w:trPr>
          <w:trHeight w:val="264"/>
        </w:trPr>
        <w:tc>
          <w:tcPr>
            <w:tcW w:w="8832" w:type="dxa"/>
            <w:gridSpan w:val="4"/>
            <w:noWrap/>
            <w:tcMar>
              <w:top w:w="12" w:type="dxa"/>
              <w:left w:w="12" w:type="dxa"/>
              <w:bottom w:w="0" w:type="dxa"/>
              <w:right w:w="12" w:type="dxa"/>
            </w:tcMar>
            <w:vAlign w:val="bottom"/>
          </w:tcPr>
          <w:p w:rsidR="008616A0" w:rsidRDefault="008616A0" w:rsidP="000D795D">
            <w:pPr>
              <w:tabs>
                <w:tab w:val="clear" w:pos="454"/>
                <w:tab w:val="clear" w:pos="4706"/>
                <w:tab w:val="left" w:pos="142"/>
              </w:tabs>
              <w:spacing w:before="40" w:after="40" w:line="240" w:lineRule="auto"/>
              <w:ind w:left="142" w:hanging="142"/>
              <w:rPr>
                <w:sz w:val="16"/>
              </w:rPr>
            </w:pPr>
          </w:p>
        </w:tc>
      </w:tr>
      <w:tr w:rsidR="008616A0" w:rsidRPr="005A299A" w:rsidTr="003F143C">
        <w:trPr>
          <w:trHeight w:val="264"/>
        </w:trPr>
        <w:tc>
          <w:tcPr>
            <w:tcW w:w="8832" w:type="dxa"/>
            <w:gridSpan w:val="4"/>
            <w:noWrap/>
            <w:tcMar>
              <w:top w:w="12" w:type="dxa"/>
              <w:left w:w="12" w:type="dxa"/>
              <w:bottom w:w="0" w:type="dxa"/>
              <w:right w:w="12" w:type="dxa"/>
            </w:tcMar>
            <w:vAlign w:val="bottom"/>
          </w:tcPr>
          <w:p w:rsidR="008616A0" w:rsidRPr="00CC3EE6" w:rsidRDefault="008616A0" w:rsidP="0019669A">
            <w:pPr>
              <w:spacing w:line="360" w:lineRule="auto"/>
              <w:rPr>
                <w:rFonts w:cs="BMWType V2 Light"/>
                <w:b/>
                <w:sz w:val="18"/>
                <w:szCs w:val="18"/>
              </w:rPr>
            </w:pPr>
            <w:r w:rsidRPr="00CC3EE6">
              <w:rPr>
                <w:rFonts w:cs="BMWType V2 Light"/>
                <w:b/>
                <w:sz w:val="18"/>
                <w:szCs w:val="18"/>
              </w:rPr>
              <w:t>Die BMW Group</w:t>
            </w:r>
          </w:p>
          <w:p w:rsidR="008616A0" w:rsidRPr="00CC3EE6" w:rsidRDefault="008616A0" w:rsidP="0019669A">
            <w:pPr>
              <w:spacing w:line="240" w:lineRule="auto"/>
              <w:rPr>
                <w:rFonts w:cs="BMWType V2 Light"/>
                <w:sz w:val="18"/>
                <w:szCs w:val="18"/>
              </w:rPr>
            </w:pPr>
            <w:r w:rsidRPr="00CC3EE6">
              <w:rPr>
                <w:rFonts w:cs="BMWType V2 Light"/>
                <w:sz w:val="18"/>
                <w:szCs w:val="18"/>
              </w:rPr>
              <w:t>Die BMW Group ist mit ihren drei Marken BMW, MINI und Rolls-Royce einer der weltweit erfolgreichsten Premium-Hersteller von Automobilen und Motorrädern. Als internationaler Konzern betreibt das Unternehmen 2</w:t>
            </w:r>
            <w:r>
              <w:rPr>
                <w:rFonts w:cs="BMWType V2 Light"/>
                <w:sz w:val="18"/>
                <w:szCs w:val="18"/>
              </w:rPr>
              <w:t>5</w:t>
            </w:r>
            <w:r w:rsidRPr="00CC3EE6">
              <w:rPr>
                <w:rFonts w:cs="BMWType V2 Light"/>
                <w:sz w:val="18"/>
                <w:szCs w:val="18"/>
              </w:rPr>
              <w:t xml:space="preserve"> Produktions</w:t>
            </w:r>
            <w:r>
              <w:rPr>
                <w:rFonts w:cs="BMWType V2 Light"/>
                <w:sz w:val="18"/>
                <w:szCs w:val="18"/>
              </w:rPr>
              <w:t>- und Montage</w:t>
            </w:r>
            <w:r w:rsidRPr="00CC3EE6">
              <w:rPr>
                <w:rFonts w:cs="BMWType V2 Light"/>
                <w:sz w:val="18"/>
                <w:szCs w:val="18"/>
              </w:rPr>
              <w:t>stätten in 1</w:t>
            </w:r>
            <w:r>
              <w:rPr>
                <w:rFonts w:cs="BMWType V2 Light"/>
                <w:sz w:val="18"/>
                <w:szCs w:val="18"/>
              </w:rPr>
              <w:t>4</w:t>
            </w:r>
            <w:r w:rsidRPr="00CC3EE6">
              <w:rPr>
                <w:rFonts w:cs="BMWType V2 Light"/>
                <w:sz w:val="18"/>
                <w:szCs w:val="18"/>
              </w:rPr>
              <w:t xml:space="preserve"> Ländern sowie ein globales Vertriebsnetzwerk mit Vertretungen in über 140 Ländern.</w:t>
            </w:r>
          </w:p>
          <w:p w:rsidR="008616A0" w:rsidRPr="00CC3EE6" w:rsidRDefault="008616A0" w:rsidP="0019669A">
            <w:pPr>
              <w:spacing w:line="240" w:lineRule="auto"/>
              <w:rPr>
                <w:rFonts w:cs="BMWType V2 Light"/>
                <w:sz w:val="18"/>
                <w:szCs w:val="18"/>
              </w:rPr>
            </w:pPr>
          </w:p>
          <w:p w:rsidR="008616A0" w:rsidRPr="00CC3EE6" w:rsidRDefault="008616A0" w:rsidP="0019669A">
            <w:pPr>
              <w:spacing w:line="240" w:lineRule="auto"/>
              <w:rPr>
                <w:rFonts w:cs="BMWType V2 Light"/>
                <w:sz w:val="18"/>
                <w:szCs w:val="18"/>
              </w:rPr>
            </w:pPr>
            <w:r w:rsidRPr="00CC3EE6">
              <w:rPr>
                <w:rFonts w:cs="BMWType V2 Light"/>
                <w:sz w:val="18"/>
                <w:szCs w:val="18"/>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8616A0" w:rsidRPr="00CC3EE6" w:rsidRDefault="008616A0" w:rsidP="0019669A">
            <w:pPr>
              <w:spacing w:line="240" w:lineRule="auto"/>
              <w:rPr>
                <w:rFonts w:cs="BMWType V2 Light"/>
                <w:sz w:val="18"/>
                <w:szCs w:val="18"/>
              </w:rPr>
            </w:pPr>
          </w:p>
          <w:p w:rsidR="008616A0" w:rsidRPr="00CC3EE6" w:rsidRDefault="008616A0" w:rsidP="0019669A">
            <w:pPr>
              <w:spacing w:line="240" w:lineRule="auto"/>
              <w:rPr>
                <w:rFonts w:cs="BMWType V2 Light"/>
                <w:sz w:val="18"/>
                <w:szCs w:val="18"/>
              </w:rPr>
            </w:pPr>
            <w:r w:rsidRPr="00CC3EE6">
              <w:rPr>
                <w:rFonts w:cs="BMWType V2 Light"/>
                <w:sz w:val="18"/>
                <w:szCs w:val="18"/>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CC3EE6">
              <w:rPr>
                <w:rFonts w:cs="BMWType V2 Light"/>
                <w:sz w:val="18"/>
                <w:szCs w:val="18"/>
              </w:rPr>
              <w:t>Sustainability</w:t>
            </w:r>
            <w:proofErr w:type="spellEnd"/>
            <w:r w:rsidRPr="00CC3EE6">
              <w:rPr>
                <w:rFonts w:cs="BMWType V2 Light"/>
                <w:sz w:val="18"/>
                <w:szCs w:val="18"/>
              </w:rPr>
              <w:t xml:space="preserve"> Indizes.</w:t>
            </w:r>
          </w:p>
          <w:p w:rsidR="008616A0" w:rsidRPr="00CC3EE6" w:rsidRDefault="008616A0" w:rsidP="0019669A">
            <w:pPr>
              <w:rPr>
                <w:rFonts w:cs="BMWType V2 Light"/>
                <w:sz w:val="18"/>
                <w:szCs w:val="18"/>
              </w:rPr>
            </w:pPr>
          </w:p>
          <w:p w:rsidR="008616A0" w:rsidRDefault="008616A0" w:rsidP="003F143C">
            <w:pPr>
              <w:tabs>
                <w:tab w:val="clear" w:pos="454"/>
                <w:tab w:val="clear" w:pos="4706"/>
              </w:tabs>
              <w:spacing w:line="240" w:lineRule="auto"/>
              <w:rPr>
                <w:sz w:val="16"/>
              </w:rPr>
            </w:pPr>
          </w:p>
        </w:tc>
      </w:tr>
    </w:tbl>
    <w:p w:rsidR="001E49DB" w:rsidRDefault="001E49DB" w:rsidP="001E49DB">
      <w:pPr>
        <w:pStyle w:val="Fliesstext"/>
      </w:pPr>
    </w:p>
    <w:p w:rsidR="001E49DB" w:rsidRPr="00607E38" w:rsidRDefault="001E49DB" w:rsidP="001E49DB">
      <w:pPr>
        <w:pStyle w:val="Fliesstext"/>
      </w:pPr>
      <w:r>
        <w:rPr>
          <w:sz w:val="18"/>
          <w:szCs w:val="18"/>
        </w:rPr>
        <w:t>Bitte wenden Sie sich bei Rückfragen an:</w:t>
      </w:r>
    </w:p>
    <w:p w:rsidR="001E49DB" w:rsidRDefault="001E49DB" w:rsidP="001E49DB">
      <w:pPr>
        <w:pStyle w:val="Fliesstext"/>
        <w:rPr>
          <w:sz w:val="18"/>
          <w:szCs w:val="18"/>
        </w:rPr>
      </w:pPr>
    </w:p>
    <w:p w:rsidR="001E49DB" w:rsidRDefault="005923A5" w:rsidP="001E49DB">
      <w:pPr>
        <w:pStyle w:val="Fliesstext"/>
        <w:outlineLvl w:val="0"/>
        <w:rPr>
          <w:b/>
          <w:sz w:val="18"/>
          <w:szCs w:val="18"/>
        </w:rPr>
      </w:pPr>
      <w:r>
        <w:rPr>
          <w:b/>
          <w:sz w:val="18"/>
          <w:szCs w:val="18"/>
        </w:rPr>
        <w:t>Unternehmenskommunikation</w:t>
      </w:r>
    </w:p>
    <w:p w:rsidR="001E49DB" w:rsidRDefault="001E49DB" w:rsidP="001E49DB">
      <w:pPr>
        <w:pStyle w:val="Fliesstext"/>
        <w:rPr>
          <w:sz w:val="18"/>
          <w:szCs w:val="18"/>
        </w:rPr>
      </w:pPr>
    </w:p>
    <w:p w:rsidR="001E49DB" w:rsidRDefault="001E49DB" w:rsidP="001E49DB">
      <w:pPr>
        <w:pStyle w:val="Fliesstext"/>
        <w:rPr>
          <w:sz w:val="18"/>
          <w:szCs w:val="18"/>
        </w:rPr>
      </w:pPr>
      <w:r>
        <w:rPr>
          <w:sz w:val="18"/>
          <w:szCs w:val="18"/>
        </w:rPr>
        <w:t xml:space="preserve">Mathias Schmidt, </w:t>
      </w:r>
      <w:r w:rsidR="0019669A">
        <w:rPr>
          <w:sz w:val="18"/>
          <w:szCs w:val="18"/>
        </w:rPr>
        <w:t>Wirtschafts-,</w:t>
      </w:r>
      <w:r>
        <w:rPr>
          <w:sz w:val="18"/>
          <w:szCs w:val="18"/>
        </w:rPr>
        <w:t>Finanz</w:t>
      </w:r>
      <w:r w:rsidR="0019669A">
        <w:rPr>
          <w:sz w:val="18"/>
          <w:szCs w:val="18"/>
        </w:rPr>
        <w:t>- und Nachhaltigkeits</w:t>
      </w:r>
      <w:r>
        <w:rPr>
          <w:sz w:val="18"/>
          <w:szCs w:val="18"/>
        </w:rPr>
        <w:t>kommunikation</w:t>
      </w:r>
      <w:r>
        <w:rPr>
          <w:sz w:val="18"/>
          <w:szCs w:val="18"/>
        </w:rPr>
        <w:br/>
        <w:t>Telefon: + 49 89 382-24118, Fax: + 49 89 382-24418</w:t>
      </w:r>
    </w:p>
    <w:p w:rsidR="0019669A" w:rsidRDefault="000D60F1" w:rsidP="001E49DB">
      <w:pPr>
        <w:pStyle w:val="Fliesstext"/>
        <w:rPr>
          <w:sz w:val="18"/>
          <w:szCs w:val="18"/>
        </w:rPr>
      </w:pPr>
      <w:hyperlink r:id="rId8" w:history="1">
        <w:r w:rsidR="00151C6A" w:rsidRPr="00BF296A">
          <w:rPr>
            <w:rStyle w:val="Hyperlink"/>
            <w:sz w:val="18"/>
            <w:szCs w:val="18"/>
          </w:rPr>
          <w:t>mathias.m.schmidt@bmw.de</w:t>
        </w:r>
      </w:hyperlink>
    </w:p>
    <w:p w:rsidR="0019669A" w:rsidRDefault="0019669A" w:rsidP="001E49DB">
      <w:pPr>
        <w:pStyle w:val="Fliesstext"/>
        <w:rPr>
          <w:sz w:val="18"/>
          <w:szCs w:val="18"/>
        </w:rPr>
      </w:pPr>
    </w:p>
    <w:p w:rsidR="0019669A" w:rsidRDefault="0019669A" w:rsidP="001E49DB">
      <w:pPr>
        <w:pStyle w:val="Fliesstext"/>
        <w:rPr>
          <w:sz w:val="18"/>
          <w:szCs w:val="18"/>
        </w:rPr>
      </w:pPr>
      <w:r>
        <w:rPr>
          <w:sz w:val="18"/>
          <w:szCs w:val="18"/>
        </w:rPr>
        <w:t>Alexander Bilgeri, Leiter Wirtschafts-, Finanz- und Nachhaltigkeitskommunikation</w:t>
      </w:r>
    </w:p>
    <w:p w:rsidR="0019669A" w:rsidRDefault="0019669A" w:rsidP="001E49DB">
      <w:pPr>
        <w:pStyle w:val="Fliesstext"/>
        <w:rPr>
          <w:sz w:val="18"/>
          <w:szCs w:val="18"/>
        </w:rPr>
      </w:pPr>
      <w:r>
        <w:rPr>
          <w:sz w:val="18"/>
          <w:szCs w:val="18"/>
        </w:rPr>
        <w:t>Telefon: +49 89 382-24544, Fax: +49 89 382-24418</w:t>
      </w:r>
    </w:p>
    <w:p w:rsidR="0019669A" w:rsidRDefault="000D60F1" w:rsidP="001E49DB">
      <w:pPr>
        <w:pStyle w:val="Fliesstext"/>
        <w:rPr>
          <w:sz w:val="18"/>
          <w:szCs w:val="18"/>
        </w:rPr>
      </w:pPr>
      <w:hyperlink r:id="rId9" w:history="1">
        <w:r w:rsidR="00151C6A" w:rsidRPr="00BF296A">
          <w:rPr>
            <w:rStyle w:val="Hyperlink"/>
            <w:sz w:val="18"/>
            <w:szCs w:val="18"/>
          </w:rPr>
          <w:t>alexander.bilgeri@bmw.de</w:t>
        </w:r>
      </w:hyperlink>
    </w:p>
    <w:p w:rsidR="001E49DB" w:rsidRDefault="001E49DB" w:rsidP="001E49DB">
      <w:pPr>
        <w:pStyle w:val="Fliesstext"/>
        <w:rPr>
          <w:sz w:val="18"/>
          <w:szCs w:val="18"/>
        </w:rPr>
      </w:pPr>
    </w:p>
    <w:p w:rsidR="001E49DB" w:rsidRDefault="001E49DB" w:rsidP="001E49DB">
      <w:pPr>
        <w:pStyle w:val="Fliesstext"/>
        <w:outlineLvl w:val="0"/>
        <w:rPr>
          <w:sz w:val="18"/>
          <w:szCs w:val="18"/>
        </w:rPr>
      </w:pPr>
      <w:r>
        <w:rPr>
          <w:sz w:val="18"/>
          <w:szCs w:val="18"/>
        </w:rPr>
        <w:t>Internet: www.press.</w:t>
      </w:r>
      <w:r w:rsidR="0019669A">
        <w:rPr>
          <w:sz w:val="18"/>
          <w:szCs w:val="18"/>
        </w:rPr>
        <w:t>bmw.de</w:t>
      </w:r>
    </w:p>
    <w:p w:rsidR="001E49DB" w:rsidRPr="0008658A" w:rsidRDefault="001E49DB" w:rsidP="001E49DB">
      <w:pPr>
        <w:pStyle w:val="Fliesstext"/>
        <w:rPr>
          <w:sz w:val="18"/>
          <w:szCs w:val="18"/>
        </w:rPr>
      </w:pPr>
      <w:r>
        <w:rPr>
          <w:sz w:val="18"/>
          <w:szCs w:val="18"/>
        </w:rPr>
        <w:t>e-</w:t>
      </w:r>
      <w:proofErr w:type="spellStart"/>
      <w:r>
        <w:rPr>
          <w:sz w:val="18"/>
          <w:szCs w:val="18"/>
        </w:rPr>
        <w:t>mail</w:t>
      </w:r>
      <w:proofErr w:type="spellEnd"/>
      <w:r>
        <w:rPr>
          <w:sz w:val="18"/>
          <w:szCs w:val="18"/>
        </w:rPr>
        <w:t>: presse@bmwgroup.com</w:t>
      </w:r>
    </w:p>
    <w:p w:rsidR="001E49DB" w:rsidRDefault="001E49DB" w:rsidP="001E49DB">
      <w:pPr>
        <w:spacing w:line="360" w:lineRule="auto"/>
      </w:pPr>
    </w:p>
    <w:p w:rsidR="00906DB2" w:rsidRPr="00273628" w:rsidRDefault="00906DB2" w:rsidP="001F1E9D">
      <w:pPr>
        <w:pStyle w:val="Fliesstext"/>
        <w:tabs>
          <w:tab w:val="clear" w:pos="4706"/>
        </w:tabs>
      </w:pPr>
    </w:p>
    <w:p w:rsidR="00EC39E8" w:rsidRPr="00273628" w:rsidRDefault="00EC39E8" w:rsidP="001F1E9D">
      <w:pPr>
        <w:pStyle w:val="Fliesstext"/>
        <w:tabs>
          <w:tab w:val="clear" w:pos="4706"/>
        </w:tabs>
        <w:sectPr w:rsidR="00EC39E8" w:rsidRPr="00273628" w:rsidSect="00B327B4">
          <w:headerReference w:type="default" r:id="rId10"/>
          <w:footerReference w:type="even" r:id="rId11"/>
          <w:headerReference w:type="first" r:id="rId12"/>
          <w:footerReference w:type="first" r:id="rId13"/>
          <w:footnotePr>
            <w:pos w:val="beneathText"/>
            <w:numRestart w:val="eachPage"/>
          </w:footnotePr>
          <w:type w:val="continuous"/>
          <w:pgSz w:w="11907" w:h="16840" w:code="9"/>
          <w:pgMar w:top="1814" w:right="2098" w:bottom="1361" w:left="2098" w:header="0" w:footer="567" w:gutter="0"/>
          <w:pgNumType w:start="1"/>
          <w:cols w:space="720"/>
          <w:formProt w:val="0"/>
          <w:titlePg/>
          <w:docGrid w:linePitch="299"/>
        </w:sectPr>
      </w:pPr>
    </w:p>
    <w:p w:rsidR="00453FB9" w:rsidRDefault="00453FB9" w:rsidP="00D805FA">
      <w:pPr>
        <w:pStyle w:val="Fliesstext"/>
        <w:tabs>
          <w:tab w:val="clear" w:pos="4706"/>
        </w:tabs>
      </w:pPr>
    </w:p>
    <w:sectPr w:rsidR="00453FB9" w:rsidSect="00EB68FF">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7B4" w:rsidRDefault="00B327B4">
      <w:r>
        <w:separator/>
      </w:r>
    </w:p>
  </w:endnote>
  <w:endnote w:type="continuationSeparator" w:id="0">
    <w:p w:rsidR="00B327B4" w:rsidRDefault="00B327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MW Helvetica Light">
    <w:panose1 w:val="00000000000000000000"/>
    <w:charset w:val="00"/>
    <w:family w:val="auto"/>
    <w:pitch w:val="variable"/>
    <w:sig w:usb0="00000003" w:usb1="00000000" w:usb2="00000000" w:usb3="00000000" w:csb0="00000001" w:csb1="00000000"/>
  </w:font>
  <w:font w:name="BMWTypeCondensedLight">
    <w:panose1 w:val="020B0306020202020204"/>
    <w:charset w:val="00"/>
    <w:family w:val="swiss"/>
    <w:pitch w:val="variable"/>
    <w:sig w:usb0="80000027" w:usb1="00000000" w:usb2="00000000" w:usb3="00000000" w:csb0="00000093" w:csb1="00000000"/>
  </w:font>
  <w:font w:name="BMWType V2 Regular">
    <w:altName w:val="BMW Type V"/>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B4" w:rsidRDefault="000D60F1">
    <w:pPr>
      <w:framePr w:wrap="around" w:vAnchor="text" w:hAnchor="margin" w:y="1"/>
    </w:pPr>
    <w:r>
      <w:fldChar w:fldCharType="begin"/>
    </w:r>
    <w:r w:rsidR="00B327B4">
      <w:instrText xml:space="preserve">PAGE  </w:instrText>
    </w:r>
    <w:r>
      <w:fldChar w:fldCharType="end"/>
    </w:r>
  </w:p>
  <w:p w:rsidR="00B327B4" w:rsidRDefault="00B327B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B4" w:rsidRDefault="00B327B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7B4" w:rsidRDefault="00B327B4">
      <w:r>
        <w:separator/>
      </w:r>
    </w:p>
  </w:footnote>
  <w:footnote w:type="continuationSeparator" w:id="0">
    <w:p w:rsidR="00B327B4" w:rsidRDefault="00B327B4">
      <w:r>
        <w:continuationSeparator/>
      </w:r>
    </w:p>
  </w:footnote>
  <w:footnote w:id="1">
    <w:p w:rsidR="00DB467A" w:rsidRDefault="00B327B4">
      <w:pPr>
        <w:pStyle w:val="Funotentext"/>
      </w:pPr>
      <w:r>
        <w:rPr>
          <w:rStyle w:val="Funotenzeichen"/>
        </w:rPr>
        <w:footnoteRef/>
      </w:r>
      <w:r>
        <w:t xml:space="preserve"> </w:t>
      </w:r>
      <w:r>
        <w:rPr>
          <w:sz w:val="16"/>
        </w:rPr>
        <w:t>Werte ohne ruhende Arbeitsverhältnisse, ohne Mitarbeiter in Altersteilzeit und Freizeitphase, ohne Geringverdiener</w:t>
      </w:r>
    </w:p>
  </w:footnote>
  <w:footnote w:id="2">
    <w:p w:rsidR="00B327B4" w:rsidRDefault="00B327B4">
      <w:pPr>
        <w:pStyle w:val="Funotentext"/>
      </w:pPr>
      <w:r>
        <w:rPr>
          <w:rStyle w:val="Funotenzeichen"/>
        </w:rPr>
        <w:footnoteRef/>
      </w:r>
      <w:r>
        <w:t xml:space="preserve"> </w:t>
      </w:r>
      <w:r w:rsidRPr="008616A0">
        <w:rPr>
          <w:sz w:val="16"/>
        </w:rPr>
        <w:t>Segment Automobile</w:t>
      </w:r>
    </w:p>
  </w:footnote>
  <w:footnote w:id="3">
    <w:p w:rsidR="00B327B4" w:rsidRDefault="00B327B4">
      <w:pPr>
        <w:pStyle w:val="Funotentext"/>
      </w:pPr>
      <w:r>
        <w:rPr>
          <w:rStyle w:val="Funotenzeichen"/>
        </w:rPr>
        <w:footnoteRef/>
      </w:r>
      <w:r>
        <w:t xml:space="preserve"> </w:t>
      </w:r>
      <w:r>
        <w:rPr>
          <w:sz w:val="16"/>
        </w:rPr>
        <w:t>Ergebnis je Aktie nach IAS 33 für Stamm-/Vorzugsaktien</w:t>
      </w:r>
    </w:p>
  </w:footnote>
  <w:footnote w:id="4">
    <w:p w:rsidR="00B327B4" w:rsidRDefault="00B327B4">
      <w:pPr>
        <w:pStyle w:val="Funotentext"/>
      </w:pPr>
      <w:r>
        <w:rPr>
          <w:rStyle w:val="Funotenzeichen"/>
        </w:rPr>
        <w:footnoteRef/>
      </w:r>
      <w:r>
        <w:t xml:space="preserve"> </w:t>
      </w:r>
      <w:r w:rsidR="00DB467A">
        <w:rPr>
          <w:sz w:val="16"/>
        </w:rPr>
        <w:t>Werte ohne ruhende Arbeitsverhältnisse, ohne Mitarbeiter in Altersteilzeit und Freizeitphase, ohne Geringverdiener</w:t>
      </w:r>
    </w:p>
  </w:footnote>
  <w:footnote w:id="5">
    <w:p w:rsidR="00B327B4" w:rsidRDefault="00B327B4">
      <w:pPr>
        <w:pStyle w:val="Funotentext"/>
      </w:pPr>
      <w:r>
        <w:rPr>
          <w:rStyle w:val="Funotenzeichen"/>
        </w:rPr>
        <w:footnoteRef/>
      </w:r>
      <w:r>
        <w:t xml:space="preserve"> </w:t>
      </w:r>
      <w:r w:rsidR="00DB467A" w:rsidRPr="008616A0">
        <w:rPr>
          <w:sz w:val="16"/>
        </w:rPr>
        <w:t>Segment Automobile</w:t>
      </w:r>
    </w:p>
  </w:footnote>
  <w:footnote w:id="6">
    <w:p w:rsidR="00B327B4" w:rsidRDefault="00B327B4">
      <w:pPr>
        <w:pStyle w:val="Funotentext"/>
      </w:pPr>
      <w:r>
        <w:rPr>
          <w:rStyle w:val="Funotenzeichen"/>
        </w:rPr>
        <w:footnoteRef/>
      </w:r>
      <w:r>
        <w:t xml:space="preserve"> </w:t>
      </w:r>
      <w:r w:rsidR="00DB467A">
        <w:rPr>
          <w:sz w:val="16"/>
        </w:rPr>
        <w:t>Ergebnis je Aktie nach IAS 33 für Stamm-/Vorzugsaktien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327B4" w:rsidTr="0064570D">
      <w:tc>
        <w:tcPr>
          <w:tcW w:w="1928" w:type="dxa"/>
        </w:tcPr>
        <w:p w:rsidR="00B327B4" w:rsidRDefault="00B327B4" w:rsidP="00DB467A">
          <w:pPr>
            <w:pStyle w:val="zzmarginalielightseite2"/>
            <w:framePr w:wrap="notBeside" w:x="99" w:y="1667"/>
          </w:pPr>
        </w:p>
      </w:tc>
      <w:tc>
        <w:tcPr>
          <w:tcW w:w="170" w:type="dxa"/>
        </w:tcPr>
        <w:p w:rsidR="00B327B4" w:rsidRDefault="00B327B4" w:rsidP="00DB467A">
          <w:pPr>
            <w:pStyle w:val="zzmarginalielightseite2"/>
            <w:framePr w:wrap="notBeside" w:x="99" w:y="1667"/>
          </w:pPr>
        </w:p>
      </w:tc>
      <w:tc>
        <w:tcPr>
          <w:tcW w:w="9299" w:type="dxa"/>
          <w:vAlign w:val="center"/>
        </w:tcPr>
        <w:p w:rsidR="00B327B4" w:rsidRDefault="00B327B4" w:rsidP="00DB467A">
          <w:pPr>
            <w:pStyle w:val="Fliesstext"/>
            <w:framePr w:w="11340" w:hSpace="142" w:wrap="notBeside" w:vAnchor="page" w:hAnchor="page" w:x="99" w:y="1667" w:anchorLock="1"/>
          </w:pPr>
          <w:r>
            <w:t>Presse-Information</w:t>
          </w:r>
        </w:p>
      </w:tc>
    </w:tr>
    <w:tr w:rsidR="00B327B4" w:rsidTr="0064570D">
      <w:tc>
        <w:tcPr>
          <w:tcW w:w="1928" w:type="dxa"/>
        </w:tcPr>
        <w:p w:rsidR="00B327B4" w:rsidRDefault="00B327B4" w:rsidP="00DB467A">
          <w:pPr>
            <w:pStyle w:val="zzmarginalielightseite2"/>
            <w:framePr w:wrap="notBeside" w:x="99" w:y="1667"/>
            <w:spacing w:line="330" w:lineRule="exact"/>
          </w:pPr>
          <w:r>
            <w:t>Datum</w:t>
          </w:r>
        </w:p>
      </w:tc>
      <w:tc>
        <w:tcPr>
          <w:tcW w:w="170" w:type="dxa"/>
        </w:tcPr>
        <w:p w:rsidR="00B327B4" w:rsidRDefault="00B327B4" w:rsidP="00DB467A">
          <w:pPr>
            <w:pStyle w:val="zzmarginalielightseite2"/>
            <w:framePr w:wrap="notBeside" w:x="99" w:y="1667"/>
          </w:pPr>
        </w:p>
      </w:tc>
      <w:tc>
        <w:tcPr>
          <w:tcW w:w="9299" w:type="dxa"/>
          <w:vAlign w:val="center"/>
        </w:tcPr>
        <w:p w:rsidR="00B327B4" w:rsidRDefault="000D60F1" w:rsidP="00DB467A">
          <w:pPr>
            <w:pStyle w:val="Fliesstext"/>
            <w:framePr w:w="11340" w:hSpace="142" w:wrap="notBeside" w:vAnchor="page" w:hAnchor="page" w:x="99" w:y="1667" w:anchorLock="1"/>
          </w:pPr>
          <w:fldSimple w:instr=" REF  Datum  \* MERGEFORMAT ">
            <w:r w:rsidR="00B0300C" w:rsidRPr="00B0300C">
              <w:rPr>
                <w:bCs/>
              </w:rPr>
              <w:t>2.</w:t>
            </w:r>
            <w:r w:rsidR="00B0300C" w:rsidRPr="00E42509">
              <w:rPr>
                <w:noProof/>
              </w:rPr>
              <w:t xml:space="preserve"> August 2011</w:t>
            </w:r>
          </w:fldSimple>
        </w:p>
      </w:tc>
    </w:tr>
    <w:tr w:rsidR="00B327B4" w:rsidTr="0064570D">
      <w:tc>
        <w:tcPr>
          <w:tcW w:w="1928" w:type="dxa"/>
        </w:tcPr>
        <w:p w:rsidR="00B327B4" w:rsidRDefault="00B327B4" w:rsidP="00DB467A">
          <w:pPr>
            <w:pStyle w:val="zzmarginalielightseite2"/>
            <w:framePr w:wrap="notBeside" w:x="99" w:y="1667"/>
            <w:spacing w:line="330" w:lineRule="exact"/>
          </w:pPr>
          <w:r>
            <w:t>Thema</w:t>
          </w:r>
        </w:p>
      </w:tc>
      <w:tc>
        <w:tcPr>
          <w:tcW w:w="170" w:type="dxa"/>
        </w:tcPr>
        <w:p w:rsidR="00B327B4" w:rsidRDefault="00B327B4" w:rsidP="00DB467A">
          <w:pPr>
            <w:pStyle w:val="zzmarginalielightseite2"/>
            <w:framePr w:wrap="notBeside" w:x="99" w:y="1667"/>
          </w:pPr>
        </w:p>
      </w:tc>
      <w:tc>
        <w:tcPr>
          <w:tcW w:w="9299" w:type="dxa"/>
          <w:vAlign w:val="center"/>
        </w:tcPr>
        <w:p w:rsidR="00B327B4" w:rsidRPr="00974C4C" w:rsidRDefault="00B327B4" w:rsidP="00DB467A">
          <w:pPr>
            <w:pStyle w:val="Fliesstext"/>
            <w:framePr w:w="11340" w:hSpace="142" w:wrap="notBeside" w:vAnchor="page" w:hAnchor="page" w:x="99" w:y="1667" w:anchorLock="1"/>
            <w:rPr>
              <w:szCs w:val="22"/>
            </w:rPr>
          </w:pPr>
          <w:r w:rsidRPr="00974C4C">
            <w:rPr>
              <w:rStyle w:val="Char"/>
              <w:rFonts w:ascii="BMWType V2 Light" w:hAnsi="BMWType V2 Light" w:cs="BMWType V2 Light"/>
              <w:sz w:val="22"/>
              <w:szCs w:val="22"/>
            </w:rPr>
            <w:t xml:space="preserve">BMW Group </w:t>
          </w:r>
          <w:r>
            <w:rPr>
              <w:rStyle w:val="Char"/>
              <w:rFonts w:ascii="BMWType V2 Light" w:hAnsi="BMWType V2 Light" w:cs="BMWType V2 Light"/>
              <w:sz w:val="22"/>
              <w:szCs w:val="22"/>
            </w:rPr>
            <w:t>bleibt im zweiten Quartal auf Rekordkurs</w:t>
          </w:r>
        </w:p>
      </w:tc>
    </w:tr>
    <w:tr w:rsidR="00B327B4" w:rsidTr="0064570D">
      <w:tc>
        <w:tcPr>
          <w:tcW w:w="1928" w:type="dxa"/>
        </w:tcPr>
        <w:p w:rsidR="00B327B4" w:rsidRDefault="00B327B4" w:rsidP="00DB467A">
          <w:pPr>
            <w:pStyle w:val="zzmarginalielightseite2"/>
            <w:framePr w:wrap="notBeside" w:x="99" w:y="1667"/>
            <w:spacing w:line="330" w:lineRule="exact"/>
          </w:pPr>
          <w:r>
            <w:t>Seite</w:t>
          </w:r>
        </w:p>
      </w:tc>
      <w:tc>
        <w:tcPr>
          <w:tcW w:w="170" w:type="dxa"/>
        </w:tcPr>
        <w:p w:rsidR="00B327B4" w:rsidRDefault="00B327B4" w:rsidP="00DB467A">
          <w:pPr>
            <w:pStyle w:val="zzmarginalielightseite2"/>
            <w:framePr w:wrap="notBeside" w:x="99" w:y="1667"/>
          </w:pPr>
        </w:p>
      </w:tc>
      <w:tc>
        <w:tcPr>
          <w:tcW w:w="9299" w:type="dxa"/>
          <w:vAlign w:val="center"/>
        </w:tcPr>
        <w:p w:rsidR="00B327B4" w:rsidRDefault="000D60F1" w:rsidP="00DB467A">
          <w:pPr>
            <w:pStyle w:val="Fliesstext"/>
            <w:framePr w:w="11340" w:hSpace="142" w:wrap="notBeside" w:vAnchor="page" w:hAnchor="page" w:x="99" w:y="1667" w:anchorLock="1"/>
          </w:pPr>
          <w:fldSimple w:instr=" PAGE ">
            <w:r w:rsidR="00B0300C">
              <w:rPr>
                <w:noProof/>
              </w:rPr>
              <w:t>10</w:t>
            </w:r>
          </w:fldSimple>
        </w:p>
      </w:tc>
    </w:tr>
    <w:tr w:rsidR="00B327B4">
      <w:tc>
        <w:tcPr>
          <w:tcW w:w="1928" w:type="dxa"/>
          <w:vAlign w:val="bottom"/>
        </w:tcPr>
        <w:p w:rsidR="00B327B4" w:rsidRDefault="00B327B4" w:rsidP="00DB467A">
          <w:pPr>
            <w:pStyle w:val="zzmarginalielightseite2"/>
            <w:framePr w:wrap="notBeside" w:x="99" w:y="1667"/>
          </w:pPr>
        </w:p>
        <w:p w:rsidR="00B327B4" w:rsidRDefault="00B327B4" w:rsidP="00DB467A">
          <w:pPr>
            <w:pStyle w:val="zzmarginalielightseite2"/>
            <w:framePr w:wrap="notBeside" w:x="99" w:y="1667"/>
          </w:pPr>
        </w:p>
      </w:tc>
      <w:tc>
        <w:tcPr>
          <w:tcW w:w="170" w:type="dxa"/>
        </w:tcPr>
        <w:p w:rsidR="00B327B4" w:rsidRDefault="00B327B4" w:rsidP="00DB467A">
          <w:pPr>
            <w:pStyle w:val="zzmarginalielightseite2"/>
            <w:framePr w:wrap="notBeside" w:x="99" w:y="1667"/>
          </w:pPr>
        </w:p>
      </w:tc>
      <w:tc>
        <w:tcPr>
          <w:tcW w:w="9299" w:type="dxa"/>
          <w:vAlign w:val="bottom"/>
        </w:tcPr>
        <w:p w:rsidR="00B327B4" w:rsidRDefault="00B327B4" w:rsidP="00DB467A">
          <w:pPr>
            <w:pStyle w:val="Fliesstext"/>
            <w:framePr w:w="11340" w:hSpace="142" w:wrap="notBeside" w:vAnchor="page" w:hAnchor="page" w:x="99" w:y="1667" w:anchorLock="1"/>
          </w:pPr>
        </w:p>
      </w:tc>
    </w:tr>
  </w:tbl>
  <w:p w:rsidR="00B327B4" w:rsidRPr="00C226EE" w:rsidRDefault="00B327B4">
    <w:pPr>
      <w:pStyle w:val="zzbmw-group"/>
      <w:framePr w:w="0" w:hRule="auto" w:hSpace="0" w:wrap="auto" w:vAnchor="margin" w:hAnchor="text" w:xAlign="left" w:yAlign="inline"/>
    </w:pPr>
    <w:r>
      <w:rPr>
        <w:noProof/>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0D60F1">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B327B4" w:rsidRPr="00207B19" w:rsidRDefault="00B327B4" w:rsidP="00F5677A">
                <w:pPr>
                  <w:rPr>
                    <w:sz w:val="24"/>
                  </w:rPr>
                </w:pPr>
                <w:r>
                  <w:rPr>
                    <w:sz w:val="24"/>
                  </w:rPr>
                  <w:t>Unternehmenskommunikation</w:t>
                </w:r>
              </w:p>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7B4" w:rsidRDefault="000D60F1">
    <w:pPr>
      <w:pStyle w:val="Kopfzeile"/>
    </w:pPr>
    <w:r>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B327B4" w:rsidRPr="00207B19" w:rsidRDefault="00B327B4" w:rsidP="00906DB2">
                <w:pPr>
                  <w:rPr>
                    <w:sz w:val="24"/>
                  </w:rPr>
                </w:pPr>
                <w:r>
                  <w:rPr>
                    <w:sz w:val="24"/>
                  </w:rPr>
                  <w:t>Unternehmenskommunikation</w:t>
                </w:r>
              </w:p>
            </w:txbxContent>
          </v:textbox>
          <w10:wrap anchorx="page" anchory="page"/>
        </v:shape>
      </w:pict>
    </w:r>
    <w:r w:rsidR="00B327B4">
      <w:rPr>
        <w:noProof/>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327B4">
      <w:rPr>
        <w:noProof/>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9745FAE"/>
    <w:multiLevelType w:val="hybridMultilevel"/>
    <w:tmpl w:val="87069196"/>
    <w:lvl w:ilvl="0" w:tplc="255CA17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nsid w:val="2BD07A42"/>
    <w:multiLevelType w:val="hybridMultilevel"/>
    <w:tmpl w:val="999C69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3A8C4362"/>
    <w:multiLevelType w:val="hybridMultilevel"/>
    <w:tmpl w:val="F3C6BC18"/>
    <w:lvl w:ilvl="0" w:tplc="04070001">
      <w:start w:val="1"/>
      <w:numFmt w:val="bullet"/>
      <w:lvlText w:val=""/>
      <w:lvlJc w:val="left"/>
      <w:pPr>
        <w:tabs>
          <w:tab w:val="num" w:pos="360"/>
        </w:tabs>
        <w:ind w:left="360" w:hanging="360"/>
      </w:pPr>
      <w:rPr>
        <w:rFonts w:ascii="Symbol" w:hAnsi="Symbol" w:hint="default"/>
      </w:rPr>
    </w:lvl>
    <w:lvl w:ilvl="1" w:tplc="0407000F">
      <w:start w:val="1"/>
      <w:numFmt w:val="decimal"/>
      <w:lvlText w:val="%2."/>
      <w:lvlJc w:val="left"/>
      <w:pPr>
        <w:tabs>
          <w:tab w:val="num" w:pos="1080"/>
        </w:tabs>
        <w:ind w:left="1080" w:hanging="360"/>
      </w:pPr>
      <w:rPr>
        <w:rFonts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nsid w:val="483A239B"/>
    <w:multiLevelType w:val="hybridMultilevel"/>
    <w:tmpl w:val="7F066D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739E4367"/>
    <w:multiLevelType w:val="hybridMultilevel"/>
    <w:tmpl w:val="1760153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0"/>
  </w:num>
  <w:num w:numId="15">
    <w:abstractNumId w:val="1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0"/>
  <w:defaultTabStop w:val="708"/>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58"/>
    <o:shapelayout v:ext="edit">
      <o:idmap v:ext="edit" data="2"/>
    </o:shapelayout>
  </w:hdrShapeDefaults>
  <w:footnotePr>
    <w:pos w:val="beneathText"/>
    <w:numRestart w:val="eachPage"/>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3F143C"/>
    <w:rsid w:val="000046C9"/>
    <w:rsid w:val="00034658"/>
    <w:rsid w:val="00042406"/>
    <w:rsid w:val="00042AA5"/>
    <w:rsid w:val="00055FB9"/>
    <w:rsid w:val="00056D73"/>
    <w:rsid w:val="000577A1"/>
    <w:rsid w:val="00077298"/>
    <w:rsid w:val="00086992"/>
    <w:rsid w:val="00093F79"/>
    <w:rsid w:val="000A1A04"/>
    <w:rsid w:val="000A230B"/>
    <w:rsid w:val="000A4DB6"/>
    <w:rsid w:val="000A5831"/>
    <w:rsid w:val="000B0279"/>
    <w:rsid w:val="000B26CD"/>
    <w:rsid w:val="000B549B"/>
    <w:rsid w:val="000C3F36"/>
    <w:rsid w:val="000C5724"/>
    <w:rsid w:val="000D2275"/>
    <w:rsid w:val="000D4544"/>
    <w:rsid w:val="000D4685"/>
    <w:rsid w:val="000D60F1"/>
    <w:rsid w:val="000D752F"/>
    <w:rsid w:val="000D795D"/>
    <w:rsid w:val="000F5916"/>
    <w:rsid w:val="00100CEC"/>
    <w:rsid w:val="00102CB2"/>
    <w:rsid w:val="00107804"/>
    <w:rsid w:val="00115F41"/>
    <w:rsid w:val="00120ABD"/>
    <w:rsid w:val="00132432"/>
    <w:rsid w:val="00132A1A"/>
    <w:rsid w:val="00134F5E"/>
    <w:rsid w:val="00151C6A"/>
    <w:rsid w:val="00163A1C"/>
    <w:rsid w:val="00174640"/>
    <w:rsid w:val="00180EF6"/>
    <w:rsid w:val="00184FCF"/>
    <w:rsid w:val="0019669A"/>
    <w:rsid w:val="001A2144"/>
    <w:rsid w:val="001A3ED9"/>
    <w:rsid w:val="001B5495"/>
    <w:rsid w:val="001B56B6"/>
    <w:rsid w:val="001B6D43"/>
    <w:rsid w:val="001C431F"/>
    <w:rsid w:val="001C51EA"/>
    <w:rsid w:val="001C69E2"/>
    <w:rsid w:val="001C7464"/>
    <w:rsid w:val="001D3C29"/>
    <w:rsid w:val="001E49DB"/>
    <w:rsid w:val="001E76A9"/>
    <w:rsid w:val="001F1E9D"/>
    <w:rsid w:val="001F273B"/>
    <w:rsid w:val="001F398B"/>
    <w:rsid w:val="001F4BBC"/>
    <w:rsid w:val="00205587"/>
    <w:rsid w:val="00212437"/>
    <w:rsid w:val="00221099"/>
    <w:rsid w:val="00224335"/>
    <w:rsid w:val="002259B3"/>
    <w:rsid w:val="00232061"/>
    <w:rsid w:val="0025397B"/>
    <w:rsid w:val="00256038"/>
    <w:rsid w:val="00270A23"/>
    <w:rsid w:val="00272142"/>
    <w:rsid w:val="00273628"/>
    <w:rsid w:val="00273FDD"/>
    <w:rsid w:val="00277367"/>
    <w:rsid w:val="002865D0"/>
    <w:rsid w:val="002962BB"/>
    <w:rsid w:val="002963D5"/>
    <w:rsid w:val="002A1173"/>
    <w:rsid w:val="002A1E6E"/>
    <w:rsid w:val="002A31CE"/>
    <w:rsid w:val="002B3AC1"/>
    <w:rsid w:val="002B50ED"/>
    <w:rsid w:val="002C0A0D"/>
    <w:rsid w:val="002C3818"/>
    <w:rsid w:val="002C659B"/>
    <w:rsid w:val="002E542D"/>
    <w:rsid w:val="002E655A"/>
    <w:rsid w:val="002F1EFC"/>
    <w:rsid w:val="002F73B4"/>
    <w:rsid w:val="002F773B"/>
    <w:rsid w:val="002F7DEA"/>
    <w:rsid w:val="003047D5"/>
    <w:rsid w:val="0031394B"/>
    <w:rsid w:val="0032535C"/>
    <w:rsid w:val="003355A6"/>
    <w:rsid w:val="003408F3"/>
    <w:rsid w:val="00340B52"/>
    <w:rsid w:val="0034103E"/>
    <w:rsid w:val="00342E39"/>
    <w:rsid w:val="00344D9E"/>
    <w:rsid w:val="00346C27"/>
    <w:rsid w:val="00350876"/>
    <w:rsid w:val="0035093A"/>
    <w:rsid w:val="00354D37"/>
    <w:rsid w:val="00354DFD"/>
    <w:rsid w:val="0035668A"/>
    <w:rsid w:val="00361E72"/>
    <w:rsid w:val="00365C25"/>
    <w:rsid w:val="00365ECA"/>
    <w:rsid w:val="003665F6"/>
    <w:rsid w:val="00380BE7"/>
    <w:rsid w:val="00391659"/>
    <w:rsid w:val="00392CF6"/>
    <w:rsid w:val="00396C45"/>
    <w:rsid w:val="003A00EF"/>
    <w:rsid w:val="003A64A2"/>
    <w:rsid w:val="003C14DD"/>
    <w:rsid w:val="003C1F69"/>
    <w:rsid w:val="003D296A"/>
    <w:rsid w:val="003D6286"/>
    <w:rsid w:val="003E12EC"/>
    <w:rsid w:val="003F143C"/>
    <w:rsid w:val="003F3C50"/>
    <w:rsid w:val="003F6CA6"/>
    <w:rsid w:val="00401CB6"/>
    <w:rsid w:val="00402FDB"/>
    <w:rsid w:val="004030A5"/>
    <w:rsid w:val="00403175"/>
    <w:rsid w:val="00441E14"/>
    <w:rsid w:val="0044492C"/>
    <w:rsid w:val="00446F17"/>
    <w:rsid w:val="00453FB9"/>
    <w:rsid w:val="004552DB"/>
    <w:rsid w:val="0047225E"/>
    <w:rsid w:val="00476CB6"/>
    <w:rsid w:val="00477256"/>
    <w:rsid w:val="00480AB9"/>
    <w:rsid w:val="00484163"/>
    <w:rsid w:val="00491A38"/>
    <w:rsid w:val="004A2E51"/>
    <w:rsid w:val="004A333D"/>
    <w:rsid w:val="004B19BA"/>
    <w:rsid w:val="004B20A1"/>
    <w:rsid w:val="004B3668"/>
    <w:rsid w:val="004B45CC"/>
    <w:rsid w:val="004B48EF"/>
    <w:rsid w:val="004C3A10"/>
    <w:rsid w:val="004C6722"/>
    <w:rsid w:val="004E0806"/>
    <w:rsid w:val="004E48AC"/>
    <w:rsid w:val="004F1360"/>
    <w:rsid w:val="004F51B3"/>
    <w:rsid w:val="005009A9"/>
    <w:rsid w:val="00500E5B"/>
    <w:rsid w:val="00511C2B"/>
    <w:rsid w:val="005150D7"/>
    <w:rsid w:val="005164F4"/>
    <w:rsid w:val="005177BC"/>
    <w:rsid w:val="00521F5A"/>
    <w:rsid w:val="005230FE"/>
    <w:rsid w:val="00524167"/>
    <w:rsid w:val="0053469C"/>
    <w:rsid w:val="00536C65"/>
    <w:rsid w:val="00541069"/>
    <w:rsid w:val="00541427"/>
    <w:rsid w:val="00544AA2"/>
    <w:rsid w:val="005451F1"/>
    <w:rsid w:val="00545473"/>
    <w:rsid w:val="0055435D"/>
    <w:rsid w:val="00557204"/>
    <w:rsid w:val="00564BE1"/>
    <w:rsid w:val="00565524"/>
    <w:rsid w:val="005923A5"/>
    <w:rsid w:val="005A10B2"/>
    <w:rsid w:val="005A58C8"/>
    <w:rsid w:val="005A6CE7"/>
    <w:rsid w:val="005B2909"/>
    <w:rsid w:val="005B6D1E"/>
    <w:rsid w:val="005C1671"/>
    <w:rsid w:val="005C3473"/>
    <w:rsid w:val="005C4890"/>
    <w:rsid w:val="005C5522"/>
    <w:rsid w:val="005E0855"/>
    <w:rsid w:val="005E212A"/>
    <w:rsid w:val="005E3B20"/>
    <w:rsid w:val="005E3FB5"/>
    <w:rsid w:val="0061488B"/>
    <w:rsid w:val="00616469"/>
    <w:rsid w:val="006168EC"/>
    <w:rsid w:val="00617678"/>
    <w:rsid w:val="00623D6A"/>
    <w:rsid w:val="00625702"/>
    <w:rsid w:val="00627AE9"/>
    <w:rsid w:val="0063062E"/>
    <w:rsid w:val="006358B0"/>
    <w:rsid w:val="00645091"/>
    <w:rsid w:val="0064570D"/>
    <w:rsid w:val="0065271A"/>
    <w:rsid w:val="00652D99"/>
    <w:rsid w:val="006547A2"/>
    <w:rsid w:val="00657554"/>
    <w:rsid w:val="00664BEB"/>
    <w:rsid w:val="00673091"/>
    <w:rsid w:val="006769F7"/>
    <w:rsid w:val="006845C3"/>
    <w:rsid w:val="006B6DA8"/>
    <w:rsid w:val="006C7DF1"/>
    <w:rsid w:val="006D137C"/>
    <w:rsid w:val="006F550D"/>
    <w:rsid w:val="006F7CBB"/>
    <w:rsid w:val="00705FCF"/>
    <w:rsid w:val="00722E65"/>
    <w:rsid w:val="00726300"/>
    <w:rsid w:val="00726A96"/>
    <w:rsid w:val="007277BE"/>
    <w:rsid w:val="00727936"/>
    <w:rsid w:val="007300B4"/>
    <w:rsid w:val="00741B77"/>
    <w:rsid w:val="0074214B"/>
    <w:rsid w:val="007449A1"/>
    <w:rsid w:val="00746D0C"/>
    <w:rsid w:val="0077229B"/>
    <w:rsid w:val="00772989"/>
    <w:rsid w:val="0078538A"/>
    <w:rsid w:val="00790826"/>
    <w:rsid w:val="00790898"/>
    <w:rsid w:val="007A0258"/>
    <w:rsid w:val="007A6C2C"/>
    <w:rsid w:val="007A6FE5"/>
    <w:rsid w:val="007B6E8D"/>
    <w:rsid w:val="007C66C4"/>
    <w:rsid w:val="007C6F9F"/>
    <w:rsid w:val="007D2415"/>
    <w:rsid w:val="007E4513"/>
    <w:rsid w:val="007E49CE"/>
    <w:rsid w:val="00806494"/>
    <w:rsid w:val="00807D14"/>
    <w:rsid w:val="00814F47"/>
    <w:rsid w:val="0083195F"/>
    <w:rsid w:val="008467A9"/>
    <w:rsid w:val="00846A76"/>
    <w:rsid w:val="0085506D"/>
    <w:rsid w:val="00857C70"/>
    <w:rsid w:val="00857D89"/>
    <w:rsid w:val="008616A0"/>
    <w:rsid w:val="008671B0"/>
    <w:rsid w:val="00885087"/>
    <w:rsid w:val="00897462"/>
    <w:rsid w:val="008A12C1"/>
    <w:rsid w:val="008A200C"/>
    <w:rsid w:val="008A2BDF"/>
    <w:rsid w:val="008C2DD6"/>
    <w:rsid w:val="008C5F6F"/>
    <w:rsid w:val="008C62F9"/>
    <w:rsid w:val="008C6A98"/>
    <w:rsid w:val="008C6C5C"/>
    <w:rsid w:val="008C6CD5"/>
    <w:rsid w:val="008C7D4D"/>
    <w:rsid w:val="008D1CD3"/>
    <w:rsid w:val="008E6774"/>
    <w:rsid w:val="008F1396"/>
    <w:rsid w:val="00900D6A"/>
    <w:rsid w:val="00906DB2"/>
    <w:rsid w:val="009148C6"/>
    <w:rsid w:val="00925DAD"/>
    <w:rsid w:val="009273A7"/>
    <w:rsid w:val="00940006"/>
    <w:rsid w:val="009416B2"/>
    <w:rsid w:val="00941D1B"/>
    <w:rsid w:val="00947310"/>
    <w:rsid w:val="00953DD0"/>
    <w:rsid w:val="00956BCE"/>
    <w:rsid w:val="00960515"/>
    <w:rsid w:val="009705B2"/>
    <w:rsid w:val="00974C4C"/>
    <w:rsid w:val="0098042B"/>
    <w:rsid w:val="00981418"/>
    <w:rsid w:val="0099544B"/>
    <w:rsid w:val="009B4C69"/>
    <w:rsid w:val="009B6CE6"/>
    <w:rsid w:val="009C1D39"/>
    <w:rsid w:val="009C4815"/>
    <w:rsid w:val="009D77CC"/>
    <w:rsid w:val="009E31A3"/>
    <w:rsid w:val="009E32D7"/>
    <w:rsid w:val="009F5CA8"/>
    <w:rsid w:val="00A12E85"/>
    <w:rsid w:val="00A1442C"/>
    <w:rsid w:val="00A1541B"/>
    <w:rsid w:val="00A16843"/>
    <w:rsid w:val="00A16DB3"/>
    <w:rsid w:val="00A24CD5"/>
    <w:rsid w:val="00A31A2B"/>
    <w:rsid w:val="00A32CAC"/>
    <w:rsid w:val="00A33BF8"/>
    <w:rsid w:val="00A51813"/>
    <w:rsid w:val="00A62140"/>
    <w:rsid w:val="00A72C97"/>
    <w:rsid w:val="00A85F3F"/>
    <w:rsid w:val="00A95122"/>
    <w:rsid w:val="00AA7614"/>
    <w:rsid w:val="00AA7C04"/>
    <w:rsid w:val="00AB3645"/>
    <w:rsid w:val="00AC0784"/>
    <w:rsid w:val="00AD52D9"/>
    <w:rsid w:val="00AD737A"/>
    <w:rsid w:val="00AE0CD4"/>
    <w:rsid w:val="00AE6A3D"/>
    <w:rsid w:val="00AF4F80"/>
    <w:rsid w:val="00B0300C"/>
    <w:rsid w:val="00B127CB"/>
    <w:rsid w:val="00B15AB8"/>
    <w:rsid w:val="00B225B0"/>
    <w:rsid w:val="00B24DCD"/>
    <w:rsid w:val="00B26051"/>
    <w:rsid w:val="00B2722F"/>
    <w:rsid w:val="00B27897"/>
    <w:rsid w:val="00B327B4"/>
    <w:rsid w:val="00B3486E"/>
    <w:rsid w:val="00B533C3"/>
    <w:rsid w:val="00B54B35"/>
    <w:rsid w:val="00B5521E"/>
    <w:rsid w:val="00B566C0"/>
    <w:rsid w:val="00B73E10"/>
    <w:rsid w:val="00B90B16"/>
    <w:rsid w:val="00BA1033"/>
    <w:rsid w:val="00BA35DF"/>
    <w:rsid w:val="00BD233F"/>
    <w:rsid w:val="00BE2DBC"/>
    <w:rsid w:val="00BE3852"/>
    <w:rsid w:val="00BF34DC"/>
    <w:rsid w:val="00BF3DD5"/>
    <w:rsid w:val="00C028ED"/>
    <w:rsid w:val="00C11C52"/>
    <w:rsid w:val="00C13603"/>
    <w:rsid w:val="00C136FF"/>
    <w:rsid w:val="00C13810"/>
    <w:rsid w:val="00C14A1C"/>
    <w:rsid w:val="00C226EE"/>
    <w:rsid w:val="00C232C1"/>
    <w:rsid w:val="00C275C1"/>
    <w:rsid w:val="00C277C9"/>
    <w:rsid w:val="00C36526"/>
    <w:rsid w:val="00C47640"/>
    <w:rsid w:val="00C53CE9"/>
    <w:rsid w:val="00C56568"/>
    <w:rsid w:val="00C56988"/>
    <w:rsid w:val="00C62714"/>
    <w:rsid w:val="00C6486B"/>
    <w:rsid w:val="00C70D11"/>
    <w:rsid w:val="00C843B5"/>
    <w:rsid w:val="00C95023"/>
    <w:rsid w:val="00CA6367"/>
    <w:rsid w:val="00CC42EB"/>
    <w:rsid w:val="00CE21DB"/>
    <w:rsid w:val="00CE63EA"/>
    <w:rsid w:val="00CF1B61"/>
    <w:rsid w:val="00D05AE9"/>
    <w:rsid w:val="00D11F36"/>
    <w:rsid w:val="00D24B1B"/>
    <w:rsid w:val="00D25018"/>
    <w:rsid w:val="00D3261C"/>
    <w:rsid w:val="00D357B9"/>
    <w:rsid w:val="00D35B7F"/>
    <w:rsid w:val="00D3699D"/>
    <w:rsid w:val="00D524B8"/>
    <w:rsid w:val="00D5366E"/>
    <w:rsid w:val="00D55546"/>
    <w:rsid w:val="00D5597D"/>
    <w:rsid w:val="00D65E87"/>
    <w:rsid w:val="00D67A17"/>
    <w:rsid w:val="00D70AAD"/>
    <w:rsid w:val="00D805FA"/>
    <w:rsid w:val="00D80BD3"/>
    <w:rsid w:val="00DA4FDB"/>
    <w:rsid w:val="00DA64B0"/>
    <w:rsid w:val="00DB467A"/>
    <w:rsid w:val="00DB49CA"/>
    <w:rsid w:val="00DC276E"/>
    <w:rsid w:val="00DE5071"/>
    <w:rsid w:val="00DE6E4E"/>
    <w:rsid w:val="00DF0E2B"/>
    <w:rsid w:val="00E00CF9"/>
    <w:rsid w:val="00E0741D"/>
    <w:rsid w:val="00E16135"/>
    <w:rsid w:val="00E21A18"/>
    <w:rsid w:val="00E3582F"/>
    <w:rsid w:val="00E36BFC"/>
    <w:rsid w:val="00E37667"/>
    <w:rsid w:val="00E41B90"/>
    <w:rsid w:val="00E41C69"/>
    <w:rsid w:val="00E42509"/>
    <w:rsid w:val="00E47D8C"/>
    <w:rsid w:val="00E57284"/>
    <w:rsid w:val="00E643B5"/>
    <w:rsid w:val="00E7721D"/>
    <w:rsid w:val="00E95122"/>
    <w:rsid w:val="00EA085E"/>
    <w:rsid w:val="00EA48E6"/>
    <w:rsid w:val="00EA49BA"/>
    <w:rsid w:val="00EB260A"/>
    <w:rsid w:val="00EB68FF"/>
    <w:rsid w:val="00EC39E8"/>
    <w:rsid w:val="00ED02BF"/>
    <w:rsid w:val="00ED0A83"/>
    <w:rsid w:val="00ED3104"/>
    <w:rsid w:val="00ED6BED"/>
    <w:rsid w:val="00ED73FF"/>
    <w:rsid w:val="00ED7A7C"/>
    <w:rsid w:val="00EE3B62"/>
    <w:rsid w:val="00EE4D61"/>
    <w:rsid w:val="00EF18D0"/>
    <w:rsid w:val="00EF3AC1"/>
    <w:rsid w:val="00EF70B1"/>
    <w:rsid w:val="00F1345C"/>
    <w:rsid w:val="00F26BD6"/>
    <w:rsid w:val="00F340DC"/>
    <w:rsid w:val="00F41C00"/>
    <w:rsid w:val="00F4767C"/>
    <w:rsid w:val="00F50DAA"/>
    <w:rsid w:val="00F54125"/>
    <w:rsid w:val="00F54B14"/>
    <w:rsid w:val="00F5677A"/>
    <w:rsid w:val="00F62894"/>
    <w:rsid w:val="00F741B4"/>
    <w:rsid w:val="00F84711"/>
    <w:rsid w:val="00F90ED2"/>
    <w:rsid w:val="00F95B23"/>
    <w:rsid w:val="00FA465D"/>
    <w:rsid w:val="00FB286E"/>
    <w:rsid w:val="00FB3165"/>
    <w:rsid w:val="00FB4C91"/>
    <w:rsid w:val="00FB6AC3"/>
    <w:rsid w:val="00FC0726"/>
    <w:rsid w:val="00FC202D"/>
    <w:rsid w:val="00FC6C3B"/>
    <w:rsid w:val="00FD489E"/>
    <w:rsid w:val="00FD50BE"/>
    <w:rsid w:val="00FE0F04"/>
    <w:rsid w:val="00FF633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8538A"/>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78538A"/>
    <w:pPr>
      <w:keepNext/>
      <w:outlineLvl w:val="0"/>
    </w:pPr>
    <w:rPr>
      <w:rFonts w:ascii="BMWType V2 Bold" w:hAnsi="BMWType V2 Bold" w:cs="Arial"/>
      <w:bCs/>
      <w:sz w:val="36"/>
      <w:szCs w:val="32"/>
    </w:rPr>
  </w:style>
  <w:style w:type="paragraph" w:styleId="berschrift2">
    <w:name w:val="heading 2"/>
    <w:basedOn w:val="Standard"/>
    <w:next w:val="Standard"/>
    <w:qFormat/>
    <w:rsid w:val="0078538A"/>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78538A"/>
    <w:pPr>
      <w:keepNext/>
      <w:outlineLvl w:val="2"/>
    </w:pPr>
    <w:rPr>
      <w:rFonts w:ascii="BMWType V2 Bold" w:hAnsi="BMWType V2 Bold" w:cs="Arial"/>
      <w:bCs/>
      <w:sz w:val="28"/>
      <w:szCs w:val="26"/>
    </w:rPr>
  </w:style>
  <w:style w:type="paragraph" w:styleId="berschrift5">
    <w:name w:val="heading 5"/>
    <w:basedOn w:val="Standard"/>
    <w:next w:val="Standard"/>
    <w:link w:val="berschrift5Zchn"/>
    <w:qFormat/>
    <w:rsid w:val="001E49DB"/>
    <w:pPr>
      <w:keepNext/>
      <w:spacing w:line="240" w:lineRule="auto"/>
      <w:jc w:val="right"/>
      <w:outlineLvl w:val="4"/>
    </w:pPr>
    <w:rPr>
      <w:rFonts w:ascii="BMWTypeLight" w:eastAsia="Arial Unicode MS" w:hAnsi="BMWTypeLight" w:cs="Arial Unicode MS"/>
      <w:b/>
      <w:bCs/>
      <w:sz w:val="16"/>
      <w:szCs w:val="20"/>
    </w:rPr>
  </w:style>
  <w:style w:type="paragraph" w:styleId="berschrift6">
    <w:name w:val="heading 6"/>
    <w:basedOn w:val="Standard"/>
    <w:next w:val="Standard"/>
    <w:link w:val="berschrift6Zchn"/>
    <w:qFormat/>
    <w:rsid w:val="001E49DB"/>
    <w:pPr>
      <w:keepNext/>
      <w:tabs>
        <w:tab w:val="clear" w:pos="454"/>
        <w:tab w:val="clear" w:pos="4706"/>
      </w:tabs>
      <w:spacing w:line="240" w:lineRule="auto"/>
      <w:outlineLvl w:val="5"/>
    </w:pPr>
    <w:rPr>
      <w:rFonts w:ascii="BMW Helvetica Light" w:eastAsia="Arial Unicode MS" w:hAnsi="BMW Helvetica Light" w:cs="Arial Unicode MS"/>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78538A"/>
    <w:pPr>
      <w:numPr>
        <w:numId w:val="11"/>
      </w:numPr>
      <w:spacing w:before="60" w:after="60"/>
    </w:pPr>
  </w:style>
  <w:style w:type="paragraph" w:customStyle="1" w:styleId="Fliesstext">
    <w:name w:val="Fliesstext"/>
    <w:basedOn w:val="Standard"/>
    <w:rsid w:val="0078538A"/>
  </w:style>
  <w:style w:type="paragraph" w:styleId="Funotentext">
    <w:name w:val="footnote text"/>
    <w:basedOn w:val="Standard"/>
    <w:semiHidden/>
    <w:rsid w:val="0078538A"/>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78538A"/>
    <w:rPr>
      <w:rFonts w:ascii="BMWTypeCondensedLight" w:hAnsi="BMWTypeCondensedLight"/>
      <w:position w:val="4"/>
      <w:sz w:val="12"/>
      <w:vertAlign w:val="baseline"/>
      <w:lang w:val="de-DE"/>
    </w:rPr>
  </w:style>
  <w:style w:type="paragraph" w:customStyle="1" w:styleId="Tabellentitel">
    <w:name w:val="Tabellentitel"/>
    <w:basedOn w:val="Standard"/>
    <w:rsid w:val="0078538A"/>
    <w:pPr>
      <w:spacing w:before="40" w:after="50" w:line="210" w:lineRule="exact"/>
    </w:pPr>
    <w:rPr>
      <w:rFonts w:ascii="BMWType V2 Bold" w:hAnsi="BMWType V2 Bold"/>
      <w:sz w:val="18"/>
    </w:rPr>
  </w:style>
  <w:style w:type="paragraph" w:customStyle="1" w:styleId="Tabelleneintrag">
    <w:name w:val="Tabelleneintrag"/>
    <w:basedOn w:val="Tabellentitel"/>
    <w:rsid w:val="0078538A"/>
  </w:style>
  <w:style w:type="paragraph" w:styleId="Titel">
    <w:name w:val="Title"/>
    <w:basedOn w:val="Standard"/>
    <w:qFormat/>
    <w:rsid w:val="0078538A"/>
    <w:pPr>
      <w:spacing w:line="330" w:lineRule="atLeast"/>
      <w:outlineLvl w:val="0"/>
    </w:pPr>
    <w:rPr>
      <w:rFonts w:ascii="BMWType V2 Bold" w:hAnsi="BMWType V2 Bold" w:cs="Arial"/>
      <w:bCs/>
      <w:sz w:val="28"/>
      <w:szCs w:val="32"/>
    </w:rPr>
  </w:style>
  <w:style w:type="paragraph" w:styleId="Untertitel">
    <w:name w:val="Subtitle"/>
    <w:basedOn w:val="Standard"/>
    <w:qFormat/>
    <w:rsid w:val="0078538A"/>
    <w:pPr>
      <w:outlineLvl w:val="1"/>
    </w:pPr>
    <w:rPr>
      <w:rFonts w:ascii="BMWType V2 Bold" w:hAnsi="BMWType V2 Bold" w:cs="Arial"/>
    </w:rPr>
  </w:style>
  <w:style w:type="paragraph" w:customStyle="1" w:styleId="Zusammenfassung">
    <w:name w:val="Zusammenfassung"/>
    <w:basedOn w:val="Standard"/>
    <w:next w:val="Fliesstext"/>
    <w:rsid w:val="0078538A"/>
    <w:pPr>
      <w:spacing w:after="290" w:line="210" w:lineRule="exact"/>
    </w:pPr>
    <w:rPr>
      <w:rFonts w:ascii="BMWType V2 Bold" w:hAnsi="BMWType V2 Bold"/>
      <w:sz w:val="18"/>
    </w:rPr>
  </w:style>
  <w:style w:type="paragraph" w:customStyle="1" w:styleId="zzbmw-group">
    <w:name w:val="zz_bmw-group"/>
    <w:basedOn w:val="Standard"/>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78538A"/>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78538A"/>
    <w:rPr>
      <w:rFonts w:ascii="BMWType V2 Bold" w:hAnsi="BMWType V2 Bold"/>
    </w:rPr>
  </w:style>
  <w:style w:type="paragraph" w:customStyle="1" w:styleId="zztitelseite2">
    <w:name w:val="zz_titel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78538A"/>
    <w:rPr>
      <w:rFonts w:ascii="Tahoma" w:hAnsi="Tahoma" w:cs="Tahoma"/>
      <w:sz w:val="16"/>
      <w:szCs w:val="16"/>
    </w:rPr>
  </w:style>
  <w:style w:type="character" w:customStyle="1" w:styleId="FliesstextChar">
    <w:name w:val="Fliesstext Char"/>
    <w:basedOn w:val="Absatz-Standardschriftart"/>
    <w:rsid w:val="00EB68FF"/>
    <w:rPr>
      <w:rFonts w:ascii="BMWTypeLight" w:hAnsi="BMWTypeLight"/>
      <w:sz w:val="22"/>
      <w:szCs w:val="24"/>
      <w:lang w:val="de-DE" w:eastAsia="de-DE" w:bidi="ar-SA"/>
    </w:rPr>
  </w:style>
  <w:style w:type="character" w:customStyle="1" w:styleId="berschrift1Char">
    <w:name w:val="Überschrift 1 Char"/>
    <w:basedOn w:val="Absatz-Standardschriftart"/>
    <w:rsid w:val="0078538A"/>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78538A"/>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78538A"/>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74214B"/>
    <w:rPr>
      <w:color w:val="0000FF"/>
      <w:u w:val="single"/>
    </w:rPr>
  </w:style>
  <w:style w:type="paragraph" w:styleId="Kopfzeile">
    <w:name w:val="header"/>
    <w:basedOn w:val="Standard"/>
    <w:rsid w:val="0078538A"/>
    <w:pPr>
      <w:tabs>
        <w:tab w:val="clear" w:pos="454"/>
        <w:tab w:val="clear" w:pos="4706"/>
        <w:tab w:val="center" w:pos="4536"/>
        <w:tab w:val="right" w:pos="9072"/>
      </w:tabs>
    </w:pPr>
  </w:style>
  <w:style w:type="character" w:customStyle="1" w:styleId="Char">
    <w:name w:val="Char"/>
    <w:basedOn w:val="Absatz-Standardschriftart"/>
    <w:rsid w:val="00EB68FF"/>
    <w:rPr>
      <w:rFonts w:ascii="BMWTypeLight" w:hAnsi="BMWTypeLight" w:cs="Arial"/>
      <w:sz w:val="28"/>
      <w:szCs w:val="28"/>
      <w:lang w:val="de-DE" w:eastAsia="de-DE" w:bidi="ar-SA"/>
    </w:rPr>
  </w:style>
  <w:style w:type="paragraph" w:styleId="Fuzeile">
    <w:name w:val="footer"/>
    <w:basedOn w:val="Standard"/>
    <w:rsid w:val="0078538A"/>
    <w:pPr>
      <w:tabs>
        <w:tab w:val="clear" w:pos="454"/>
        <w:tab w:val="clear" w:pos="4706"/>
        <w:tab w:val="center" w:pos="4536"/>
        <w:tab w:val="right" w:pos="9072"/>
      </w:tabs>
    </w:pPr>
  </w:style>
  <w:style w:type="paragraph" w:customStyle="1" w:styleId="zzkopftabelle">
    <w:name w:val="zz_kopftabelle"/>
    <w:basedOn w:val="Standard"/>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Type V2 Light" w:hAnsi="BMWType V2 Light"/>
      <w:sz w:val="18"/>
    </w:rPr>
  </w:style>
  <w:style w:type="paragraph" w:customStyle="1" w:styleId="zztabelleseite2">
    <w:name w:val="zz_tabelle_seite_2"/>
    <w:basedOn w:val="Standard"/>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Absatz-Standardschriftart"/>
    <w:rsid w:val="0078538A"/>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78538A"/>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78538A"/>
    <w:rPr>
      <w:rFonts w:ascii="BMWType V2 Regular" w:hAnsi="BMWType V2 Regular"/>
      <w:color w:val="000000"/>
      <w:spacing w:val="0"/>
      <w:kern w:val="0"/>
      <w:position w:val="0"/>
      <w:sz w:val="12"/>
      <w:lang w:val="de-DE" w:eastAsia="de-DE" w:bidi="ar-SA"/>
    </w:rPr>
  </w:style>
  <w:style w:type="character" w:customStyle="1" w:styleId="berschrift5Zchn">
    <w:name w:val="Überschrift 5 Zchn"/>
    <w:basedOn w:val="Absatz-Standardschriftart"/>
    <w:link w:val="berschrift5"/>
    <w:rsid w:val="001E49DB"/>
    <w:rPr>
      <w:rFonts w:ascii="BMWTypeLight" w:eastAsia="Arial Unicode MS" w:hAnsi="BMWTypeLight" w:cs="Arial Unicode MS"/>
      <w:b/>
      <w:bCs/>
      <w:sz w:val="16"/>
    </w:rPr>
  </w:style>
  <w:style w:type="character" w:customStyle="1" w:styleId="berschrift6Zchn">
    <w:name w:val="Überschrift 6 Zchn"/>
    <w:basedOn w:val="Absatz-Standardschriftart"/>
    <w:link w:val="berschrift6"/>
    <w:rsid w:val="001E49DB"/>
    <w:rPr>
      <w:rFonts w:ascii="BMW Helvetica Light" w:eastAsia="Arial Unicode MS" w:hAnsi="BMW Helvetica Light" w:cs="Arial Unicode MS"/>
      <w:b/>
      <w:bCs/>
    </w:rPr>
  </w:style>
  <w:style w:type="paragraph" w:styleId="Listenabsatz">
    <w:name w:val="List Paragraph"/>
    <w:basedOn w:val="Standard"/>
    <w:uiPriority w:val="34"/>
    <w:qFormat/>
    <w:rsid w:val="00B15AB8"/>
    <w:pPr>
      <w:tabs>
        <w:tab w:val="clear" w:pos="454"/>
        <w:tab w:val="clear" w:pos="4706"/>
      </w:tabs>
      <w:spacing w:line="240" w:lineRule="auto"/>
      <w:ind w:left="708"/>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divs>
    <w:div w:id="73728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thias.m.schmidt@bmw.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xander.bilgeri@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q020542\LOCALS~1\Temp\Tempor&#228;res%20Verzeichnis%201%20f&#252;r%20AK10.zip\EMAILGRDml.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32665-FCC1-42C4-AA29-DE379BA1F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EMAILGRDml.dot</Template>
  <TotalTime>0</TotalTime>
  <Pages>10</Pages>
  <Words>2286</Words>
  <Characters>15019</Characters>
  <Application>Microsoft Office Word</Application>
  <DocSecurity>0</DocSecurity>
  <Lines>125</Lines>
  <Paragraphs>34</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17271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Gehring Jutta</dc:creator>
  <cp:lastModifiedBy>Gehring Jutta</cp:lastModifiedBy>
  <cp:revision>3</cp:revision>
  <cp:lastPrinted>2011-08-02T04:31:00Z</cp:lastPrinted>
  <dcterms:created xsi:type="dcterms:W3CDTF">2011-08-02T04:30:00Z</dcterms:created>
  <dcterms:modified xsi:type="dcterms:W3CDTF">2011-08-02T04:31:00Z</dcterms:modified>
</cp:coreProperties>
</file>