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D8DCF19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D34A6C4" w14:textId="77777777" w:rsidR="00E36E3F" w:rsidRDefault="00E36E3F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7EEAE88" w14:textId="77777777" w:rsidR="00E36E3F" w:rsidRDefault="00E36E3F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80481CC" w14:textId="77777777" w:rsidR="006B1840" w:rsidRDefault="006B1840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AAA5EAA" w14:textId="77777777" w:rsidR="00E36E3F" w:rsidRDefault="00E36E3F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4F19112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C20023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73011932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869A9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62E5A351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1EB73C0F" w14:textId="3A323E24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D30DE7">
        <w:rPr>
          <w:rFonts w:ascii="BMWType V2 Light" w:hAnsi="BMWType V2 Light" w:cs="BMWType V2 Light"/>
          <w:lang w:val="it-IT"/>
        </w:rPr>
        <w:t>8</w:t>
      </w:r>
      <w:r w:rsidR="00FB18F3">
        <w:rPr>
          <w:rFonts w:ascii="BMWType V2 Light" w:hAnsi="BMWType V2 Light" w:cs="BMWType V2 Light"/>
          <w:lang w:val="it-IT"/>
        </w:rPr>
        <w:t>6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7687D8EC" w14:textId="77777777" w:rsidR="003C3D3D" w:rsidRPr="00991D77" w:rsidRDefault="003C3D3D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2F435F45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>San Donato Milanese</w:t>
      </w:r>
      <w:r w:rsidR="00D30DE7">
        <w:rPr>
          <w:rFonts w:ascii="BMWType V2 Light" w:hAnsi="BMWType V2 Light" w:cs="BMWType V2 Light"/>
          <w:lang w:val="it-IT"/>
        </w:rPr>
        <w:t xml:space="preserve">, </w:t>
      </w:r>
      <w:r w:rsidR="00FB18F3">
        <w:rPr>
          <w:rFonts w:ascii="BMWType V2 Light" w:hAnsi="BMWType V2 Light" w:cs="BMWType V2 Light"/>
          <w:lang w:val="it-IT"/>
        </w:rPr>
        <w:t>12</w:t>
      </w:r>
      <w:r w:rsidR="005B5884">
        <w:rPr>
          <w:rFonts w:ascii="BMWType V2 Light" w:hAnsi="BMWType V2 Light" w:cs="BMWType V2 Light"/>
          <w:lang w:val="it-IT"/>
        </w:rPr>
        <w:t xml:space="preserve"> </w:t>
      </w:r>
      <w:r w:rsidR="00D30DE7">
        <w:rPr>
          <w:rFonts w:ascii="BMWType V2 Light" w:hAnsi="BMWType V2 Light" w:cs="BMWType V2 Light"/>
          <w:lang w:val="it-IT"/>
        </w:rPr>
        <w:t>luglio</w:t>
      </w:r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40910CD6" w14:textId="77777777" w:rsidR="00942077" w:rsidRDefault="00942077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6ACF83CF" w14:textId="68083B1D" w:rsidR="00FB18F3" w:rsidRPr="00FB18F3" w:rsidRDefault="00FB18F3" w:rsidP="00FB18F3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FB18F3">
        <w:rPr>
          <w:rFonts w:ascii="BMWType V2 Light" w:hAnsi="BMWType V2 Light" w:cs="BMWType V2 Light"/>
          <w:b/>
          <w:sz w:val="28"/>
          <w:lang w:val="it-IT"/>
        </w:rPr>
        <w:t xml:space="preserve">Il BMW Group rivede verso </w:t>
      </w:r>
      <w:r>
        <w:rPr>
          <w:rFonts w:ascii="BMWType V2 Light" w:hAnsi="BMWType V2 Light" w:cs="BMWType V2 Light"/>
          <w:b/>
          <w:sz w:val="28"/>
          <w:lang w:val="it-IT"/>
        </w:rPr>
        <w:t>l’alto le previsioni di vendit</w:t>
      </w:r>
      <w:r w:rsidR="00001588">
        <w:rPr>
          <w:rFonts w:ascii="BMWType V2 Light" w:hAnsi="BMWType V2 Light" w:cs="BMWType V2 Light"/>
          <w:b/>
          <w:sz w:val="28"/>
          <w:lang w:val="it-IT"/>
        </w:rPr>
        <w:t>a</w:t>
      </w:r>
      <w:r>
        <w:rPr>
          <w:rFonts w:ascii="BMWType V2 Light" w:hAnsi="BMWType V2 Light" w:cs="BMWType V2 Light"/>
          <w:b/>
          <w:sz w:val="28"/>
          <w:lang w:val="it-IT"/>
        </w:rPr>
        <w:br/>
      </w:r>
      <w:r w:rsidR="00001588">
        <w:rPr>
          <w:rFonts w:ascii="BMWType V2 Light" w:hAnsi="BMWType V2 Light" w:cs="BMWType V2 Light"/>
          <w:b/>
          <w:sz w:val="28"/>
          <w:lang w:val="it-IT"/>
        </w:rPr>
        <w:t xml:space="preserve">e utili </w:t>
      </w:r>
      <w:r w:rsidRPr="00FB18F3">
        <w:rPr>
          <w:rFonts w:ascii="BMWType V2 Light" w:hAnsi="BMWType V2 Light" w:cs="BMWType V2 Light"/>
          <w:b/>
          <w:sz w:val="28"/>
          <w:lang w:val="it-IT"/>
        </w:rPr>
        <w:t>per il 2011</w:t>
      </w:r>
      <w:r w:rsidR="00D30DE7">
        <w:rPr>
          <w:rFonts w:ascii="BMWType V2 Light" w:hAnsi="BMWType V2 Light" w:cs="BMWType V2 Light"/>
          <w:b/>
          <w:sz w:val="28"/>
          <w:lang w:val="it-IT"/>
        </w:rPr>
        <w:br/>
      </w:r>
      <w:r w:rsidRPr="00FB18F3">
        <w:rPr>
          <w:rFonts w:ascii="BMWType V2 Light" w:hAnsi="BMWType V2 Light" w:cs="BMWType V2 Light"/>
          <w:sz w:val="28"/>
          <w:szCs w:val="28"/>
          <w:lang w:val="it-IT"/>
        </w:rPr>
        <w:t>La performance durante l’anno corrente è migliore del previsto.</w:t>
      </w:r>
    </w:p>
    <w:p w14:paraId="3600912A" w14:textId="77777777" w:rsidR="00FB18F3" w:rsidRPr="00FB18F3" w:rsidRDefault="00FB18F3" w:rsidP="00FB18F3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FB18F3">
        <w:rPr>
          <w:rFonts w:ascii="BMWType V2 Light" w:hAnsi="BMWType V2 Light" w:cs="BMWType V2 Light"/>
          <w:sz w:val="28"/>
          <w:szCs w:val="28"/>
          <w:lang w:val="it-IT"/>
        </w:rPr>
        <w:t>Il margine EBIT per la Divisione Auto dovrebbe superare il 10%.</w:t>
      </w:r>
    </w:p>
    <w:p w14:paraId="4ECDC090" w14:textId="18B164C1" w:rsidR="00FB18F3" w:rsidRPr="00FB18F3" w:rsidRDefault="00FB18F3" w:rsidP="00FB18F3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FB18F3">
        <w:rPr>
          <w:rFonts w:ascii="BMWType V2 Light" w:hAnsi="BMWType V2 Light" w:cs="BMWType V2 Light"/>
          <w:sz w:val="28"/>
          <w:szCs w:val="28"/>
          <w:lang w:val="it-IT"/>
        </w:rPr>
        <w:t xml:space="preserve">Si punta </w:t>
      </w:r>
      <w:r w:rsidR="00001588">
        <w:rPr>
          <w:rFonts w:ascii="BMWType V2 Light" w:hAnsi="BMWType V2 Light" w:cs="BMWType V2 Light"/>
          <w:sz w:val="28"/>
          <w:szCs w:val="28"/>
          <w:lang w:val="it-IT"/>
        </w:rPr>
        <w:t>a volu</w:t>
      </w:r>
      <w:r w:rsidR="007D60B3">
        <w:rPr>
          <w:rFonts w:ascii="BMWType V2 Light" w:hAnsi="BMWType V2 Light" w:cs="BMWType V2 Light"/>
          <w:sz w:val="28"/>
          <w:szCs w:val="28"/>
          <w:lang w:val="it-IT"/>
        </w:rPr>
        <w:t>m</w:t>
      </w:r>
      <w:r w:rsidR="00001588">
        <w:rPr>
          <w:rFonts w:ascii="BMWType V2 Light" w:hAnsi="BMWType V2 Light" w:cs="BMWType V2 Light"/>
          <w:sz w:val="28"/>
          <w:szCs w:val="28"/>
          <w:lang w:val="it-IT"/>
        </w:rPr>
        <w:t>i</w:t>
      </w:r>
      <w:r w:rsidRPr="00FB18F3">
        <w:rPr>
          <w:rFonts w:ascii="BMWType V2 Light" w:hAnsi="BMWType V2 Light" w:cs="BMWType V2 Light"/>
          <w:sz w:val="28"/>
          <w:szCs w:val="28"/>
          <w:lang w:val="it-IT"/>
        </w:rPr>
        <w:t xml:space="preserve"> di vendite di oltre 1,6 milioni di veicoli.</w:t>
      </w:r>
    </w:p>
    <w:p w14:paraId="46613904" w14:textId="0B761C02" w:rsidR="00FB18F3" w:rsidRPr="00FB18F3" w:rsidRDefault="00FB18F3" w:rsidP="00FB18F3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FB18F3">
        <w:rPr>
          <w:rFonts w:ascii="BMWType V2 Light" w:hAnsi="BMWType V2 Light" w:cs="BMWType V2 Light"/>
          <w:sz w:val="28"/>
          <w:szCs w:val="28"/>
          <w:lang w:val="it-IT"/>
        </w:rPr>
        <w:t xml:space="preserve">Si prevede un forte aumento </w:t>
      </w:r>
      <w:r w:rsidR="00001588">
        <w:rPr>
          <w:rFonts w:ascii="BMWType V2 Light" w:hAnsi="BMWType V2 Light" w:cs="BMWType V2 Light"/>
          <w:sz w:val="28"/>
          <w:szCs w:val="28"/>
          <w:lang w:val="it-IT"/>
        </w:rPr>
        <w:t>degli utili</w:t>
      </w:r>
      <w:r w:rsidRPr="00FB18F3">
        <w:rPr>
          <w:rFonts w:ascii="BMWType V2 Light" w:hAnsi="BMWType V2 Light" w:cs="BMWType V2 Light"/>
          <w:sz w:val="28"/>
          <w:szCs w:val="28"/>
          <w:lang w:val="it-IT"/>
        </w:rPr>
        <w:t xml:space="preserve"> per i Servizi Finanziari.</w:t>
      </w:r>
    </w:p>
    <w:p w14:paraId="4835AD14" w14:textId="5F2A0A06" w:rsidR="00F5574C" w:rsidRDefault="00F5574C" w:rsidP="00FB18F3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</w:p>
    <w:p w14:paraId="1621F6EE" w14:textId="77777777" w:rsidR="007E1280" w:rsidRPr="00D81480" w:rsidRDefault="007E1280" w:rsidP="00FB18F3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</w:p>
    <w:p w14:paraId="18F61193" w14:textId="1FFDE676" w:rsidR="00FB18F3" w:rsidRDefault="003C3D3D" w:rsidP="00FB18F3">
      <w:pPr>
        <w:rPr>
          <w:rFonts w:ascii="BMWType V2 Light" w:hAnsi="BMWType V2 Light"/>
          <w:color w:val="000000" w:themeColor="text1"/>
          <w:lang w:val="it-IT"/>
        </w:rPr>
      </w:pPr>
      <w:r w:rsidRPr="00991D77">
        <w:rPr>
          <w:rFonts w:ascii="BMWType V2 Light" w:hAnsi="BMWType V2 Light" w:cs="BMWType V2 Light"/>
          <w:b/>
          <w:lang w:val="it-IT"/>
        </w:rPr>
        <w:t>Monaco</w:t>
      </w:r>
      <w:r w:rsidR="005C1B42">
        <w:rPr>
          <w:rFonts w:ascii="BMWType V2 Light" w:hAnsi="BMWType V2 Light" w:cs="BMWType V2 Light"/>
          <w:b/>
          <w:lang w:val="it-IT"/>
        </w:rPr>
        <w:t>.</w:t>
      </w:r>
      <w:r w:rsidR="00E21A08" w:rsidRPr="00E21A08">
        <w:rPr>
          <w:lang w:val="it-IT"/>
        </w:rPr>
        <w:t xml:space="preserve"> </w:t>
      </w:r>
      <w:r w:rsidR="00FB18F3" w:rsidRPr="00C661CD">
        <w:rPr>
          <w:rFonts w:ascii="BMWType V2 Light" w:hAnsi="BMWType V2 Light"/>
          <w:color w:val="000000" w:themeColor="text1"/>
          <w:lang w:val="it-IT"/>
        </w:rPr>
        <w:t xml:space="preserve">Grazie ad una forte domanda nei mercati internazionali dell’auto durante il secondo trimestre </w:t>
      </w:r>
      <w:r w:rsidR="00001588">
        <w:rPr>
          <w:rFonts w:ascii="BMWType V2 Light" w:hAnsi="BMWType V2 Light"/>
          <w:color w:val="000000" w:themeColor="text1"/>
          <w:lang w:val="it-IT"/>
        </w:rPr>
        <w:t>e dall’inizio dell’</w:t>
      </w:r>
      <w:r w:rsidR="00FB18F3" w:rsidRPr="00C661CD">
        <w:rPr>
          <w:rFonts w:ascii="BMWType V2 Light" w:hAnsi="BMWType V2 Light"/>
          <w:color w:val="000000" w:themeColor="text1"/>
          <w:lang w:val="it-IT"/>
        </w:rPr>
        <w:t xml:space="preserve">anno, il BMW Group si aspetta </w:t>
      </w:r>
      <w:r w:rsidR="00CA0F21">
        <w:rPr>
          <w:rFonts w:ascii="BMWType V2 Light" w:hAnsi="BMWType V2 Light"/>
          <w:color w:val="000000" w:themeColor="text1"/>
          <w:lang w:val="it-IT"/>
        </w:rPr>
        <w:t>per il 2011 vo</w:t>
      </w:r>
      <w:bookmarkStart w:id="0" w:name="_GoBack"/>
      <w:r w:rsidR="00CA0F21">
        <w:rPr>
          <w:rFonts w:ascii="BMWType V2 Light" w:hAnsi="BMWType V2 Light"/>
          <w:color w:val="000000" w:themeColor="text1"/>
          <w:lang w:val="it-IT"/>
        </w:rPr>
        <w:t>l</w:t>
      </w:r>
      <w:bookmarkEnd w:id="0"/>
      <w:r w:rsidR="00CA0F21">
        <w:rPr>
          <w:rFonts w:ascii="BMWType V2 Light" w:hAnsi="BMWType V2 Light"/>
          <w:color w:val="000000" w:themeColor="text1"/>
          <w:lang w:val="it-IT"/>
        </w:rPr>
        <w:t>umi di vendita e guadagni</w:t>
      </w:r>
      <w:r w:rsidR="00FB18F3" w:rsidRPr="00C661CD">
        <w:rPr>
          <w:rFonts w:ascii="BMWType V2 Light" w:hAnsi="BMWType V2 Light"/>
          <w:color w:val="000000" w:themeColor="text1"/>
          <w:lang w:val="it-IT"/>
        </w:rPr>
        <w:t xml:space="preserve"> significativamente migliori di quanto precedentemente previsto. Sta quindi rivedendo verso l’alto le sue previsioni, in termini di vendite e di </w:t>
      </w:r>
      <w:r w:rsidR="00CA0F21">
        <w:rPr>
          <w:rFonts w:ascii="BMWType V2 Light" w:hAnsi="BMWType V2 Light"/>
          <w:color w:val="000000" w:themeColor="text1"/>
          <w:lang w:val="it-IT"/>
        </w:rPr>
        <w:t>utili</w:t>
      </w:r>
      <w:r w:rsidR="00FB18F3" w:rsidRPr="00C661CD">
        <w:rPr>
          <w:rFonts w:ascii="BMWType V2 Light" w:hAnsi="BMWType V2 Light"/>
          <w:color w:val="000000" w:themeColor="text1"/>
          <w:lang w:val="it-IT"/>
        </w:rPr>
        <w:t>, per l’attuale esercizio.</w:t>
      </w:r>
    </w:p>
    <w:p w14:paraId="67B98363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330CF0CC" w14:textId="75C3979D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>Si prevede che le vendite nel 2011 aumenteranno di oltre il 10% rispetto allo scorso anno, per raggiungere un totale di oltre 1,6 milioni di auto dei marchi BMW, MINI e Rolls-Royce. Le previsioni per l’anno parlavano inizialmente di volum</w:t>
      </w:r>
      <w:r w:rsidR="00CA0F21">
        <w:rPr>
          <w:rFonts w:ascii="BMWType V2 Light" w:hAnsi="BMWType V2 Light"/>
          <w:color w:val="000000" w:themeColor="text1"/>
          <w:lang w:val="it-IT"/>
        </w:rPr>
        <w:t>i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 di vendit</w:t>
      </w:r>
      <w:r w:rsidR="00CA0F21">
        <w:rPr>
          <w:rFonts w:ascii="BMWType V2 Light" w:hAnsi="BMWType V2 Light"/>
          <w:color w:val="000000" w:themeColor="text1"/>
          <w:lang w:val="it-IT"/>
        </w:rPr>
        <w:t>a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 </w:t>
      </w:r>
      <w:r w:rsidR="00CA0F21">
        <w:rPr>
          <w:rFonts w:ascii="BMWType V2 Light" w:hAnsi="BMWType V2 Light"/>
          <w:color w:val="000000" w:themeColor="text1"/>
          <w:lang w:val="it-IT"/>
        </w:rPr>
        <w:t>superiori a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 1,5 milioni di unità. Il numero di veicoli consegnati ai clienti in tutto il mondo durante la prima metà del 2011 è aumentato del 19,7% a 833.366 unità. Il BMW Group continua a mirare ad un </w:t>
      </w:r>
      <w:r w:rsidR="001655EA" w:rsidRPr="00C661CD">
        <w:rPr>
          <w:rFonts w:ascii="BMWType V2 Light" w:hAnsi="BMWType V2 Light"/>
          <w:color w:val="000000" w:themeColor="text1"/>
          <w:lang w:val="it-IT"/>
        </w:rPr>
        <w:t>equilibrio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 </w:t>
      </w:r>
      <w:r w:rsidR="00CA0F21">
        <w:rPr>
          <w:rFonts w:ascii="BMWType V2 Light" w:hAnsi="BMWType V2 Light"/>
          <w:color w:val="000000" w:themeColor="text1"/>
          <w:lang w:val="it-IT"/>
        </w:rPr>
        <w:t xml:space="preserve">ragionevole delle vendite tra </w:t>
      </w:r>
      <w:r w:rsidRPr="00C661CD">
        <w:rPr>
          <w:rFonts w:ascii="BMWType V2 Light" w:hAnsi="BMWType V2 Light"/>
          <w:color w:val="000000" w:themeColor="text1"/>
          <w:lang w:val="it-IT"/>
        </w:rPr>
        <w:t>Europ</w:t>
      </w:r>
      <w:r w:rsidR="00CA0F21">
        <w:rPr>
          <w:rFonts w:ascii="BMWType V2 Light" w:hAnsi="BMWType V2 Light"/>
          <w:color w:val="000000" w:themeColor="text1"/>
          <w:lang w:val="it-IT"/>
        </w:rPr>
        <w:t xml:space="preserve">a, Asia e </w:t>
      </w:r>
      <w:r w:rsidRPr="00C661CD">
        <w:rPr>
          <w:rFonts w:ascii="BMWType V2 Light" w:hAnsi="BMWType V2 Light"/>
          <w:color w:val="000000" w:themeColor="text1"/>
          <w:lang w:val="it-IT"/>
        </w:rPr>
        <w:t>Americhe.</w:t>
      </w:r>
    </w:p>
    <w:p w14:paraId="52F24FF2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127E8506" w14:textId="13F890D9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 xml:space="preserve">Grazie all’ottima performance </w:t>
      </w:r>
      <w:r w:rsidR="00076409">
        <w:rPr>
          <w:rFonts w:ascii="BMWType V2 Light" w:hAnsi="BMWType V2 Light"/>
          <w:color w:val="000000" w:themeColor="text1"/>
          <w:lang w:val="it-IT"/>
        </w:rPr>
        <w:t xml:space="preserve">registrata 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fino ad oggi e alle buone prospettive per i prossimi mesi, è attualmente previsto che la Divisione Auto otterrà un margine EBIT di oltre il 10% per l’anno intero, rispetto alla previsione precedente di </w:t>
      </w:r>
      <w:r w:rsidR="00076409">
        <w:rPr>
          <w:rFonts w:ascii="BMWType V2 Light" w:hAnsi="BMWType V2 Light"/>
          <w:color w:val="000000" w:themeColor="text1"/>
          <w:lang w:val="it-IT"/>
        </w:rPr>
        <w:t>superare l</w:t>
      </w:r>
      <w:r w:rsidRPr="00C661CD">
        <w:rPr>
          <w:rFonts w:ascii="BMWType V2 Light" w:hAnsi="BMWType V2 Light"/>
          <w:color w:val="000000" w:themeColor="text1"/>
          <w:lang w:val="it-IT"/>
        </w:rPr>
        <w:t>’8%. Il BMW Group continua a mirare al raggiungimento di un ritorno sul capitale impiegato (RoCE) di oltre il 26%.</w:t>
      </w:r>
    </w:p>
    <w:p w14:paraId="34F1CEBB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1AC1F287" w14:textId="3DC9F48A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>Si pensa che la crescita de</w:t>
      </w:r>
      <w:r w:rsidR="00374257">
        <w:rPr>
          <w:rFonts w:ascii="BMWType V2 Light" w:hAnsi="BMWType V2 Light"/>
          <w:color w:val="000000" w:themeColor="text1"/>
          <w:lang w:val="it-IT"/>
        </w:rPr>
        <w:t>i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 volum</w:t>
      </w:r>
      <w:r w:rsidR="00374257">
        <w:rPr>
          <w:rFonts w:ascii="BMWType V2 Light" w:hAnsi="BMWType V2 Light"/>
          <w:color w:val="000000" w:themeColor="text1"/>
          <w:lang w:val="it-IT"/>
        </w:rPr>
        <w:t xml:space="preserve">i </w:t>
      </w:r>
      <w:r w:rsidRPr="00C661CD">
        <w:rPr>
          <w:rFonts w:ascii="BMWType V2 Light" w:hAnsi="BMWType V2 Light"/>
          <w:color w:val="000000" w:themeColor="text1"/>
          <w:lang w:val="it-IT"/>
        </w:rPr>
        <w:t>di vendit</w:t>
      </w:r>
      <w:r w:rsidR="00374257">
        <w:rPr>
          <w:rFonts w:ascii="BMWType V2 Light" w:hAnsi="BMWType V2 Light"/>
          <w:color w:val="000000" w:themeColor="text1"/>
          <w:lang w:val="it-IT"/>
        </w:rPr>
        <w:t>a e degli utili d</w:t>
      </w:r>
      <w:r w:rsidRPr="00C661CD">
        <w:rPr>
          <w:rFonts w:ascii="BMWType V2 Light" w:hAnsi="BMWType V2 Light"/>
          <w:color w:val="000000" w:themeColor="text1"/>
          <w:lang w:val="it-IT"/>
        </w:rPr>
        <w:t xml:space="preserve">ella Divisione Auto possa rallentare durante la seconda metà dell’anno </w:t>
      </w:r>
      <w:r w:rsidR="00EC1B98">
        <w:rPr>
          <w:rFonts w:ascii="BMWType V2 Light" w:hAnsi="BMWType V2 Light"/>
          <w:color w:val="000000" w:themeColor="text1"/>
          <w:lang w:val="it-IT"/>
        </w:rPr>
        <w:t xml:space="preserve">in funzione </w:t>
      </w:r>
      <w:r w:rsidR="00775B4E">
        <w:rPr>
          <w:rFonts w:ascii="BMWType V2 Light" w:hAnsi="BMWType V2 Light"/>
          <w:color w:val="000000" w:themeColor="text1"/>
          <w:lang w:val="it-IT"/>
        </w:rPr>
        <w:t xml:space="preserve">dell’avvicendamento di </w:t>
      </w:r>
      <w:r w:rsidRPr="00C661CD">
        <w:rPr>
          <w:rFonts w:ascii="BMWType V2 Light" w:hAnsi="BMWType V2 Light"/>
          <w:color w:val="000000" w:themeColor="text1"/>
          <w:lang w:val="it-IT"/>
        </w:rPr>
        <w:t>alcuni dei modelli più venduti del BMW Group</w:t>
      </w:r>
      <w:r w:rsidR="00775B4E">
        <w:rPr>
          <w:rFonts w:ascii="BMWType V2 Light" w:hAnsi="BMWType V2 Light"/>
          <w:color w:val="000000" w:themeColor="text1"/>
          <w:lang w:val="it-IT"/>
        </w:rPr>
        <w:t>.</w:t>
      </w:r>
    </w:p>
    <w:p w14:paraId="3B94B147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1D81D320" w14:textId="77777777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>Grazie alle attraenti condizioni di mercato ad una situazione di rischio meno acuta, la Divisione Servizi Finanziari continua a mirare al raggiungimento di un significativo miglioramento nel profitto lordo e ad un ritorno sul capitale di oltre il 18% nel 2011. Il forte miglioramento nel profilo di rischio per i valori residui e per i rischi creditizi si rifletterà nei guadagni del secondo trimestre, con un ammontare positivo di qualche centinaio di milioni di euro.</w:t>
      </w:r>
    </w:p>
    <w:p w14:paraId="5261C65C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188D414D" w14:textId="514E8D5A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 xml:space="preserve">In base alle previsioni considerevolmente migliori, il BMW Group si aspetta ora di ottenere un miglioramento ancora maggiore nei guadagni lordi </w:t>
      </w:r>
      <w:r w:rsidR="00996D60">
        <w:rPr>
          <w:rFonts w:ascii="BMWType V2 Light" w:hAnsi="BMWType V2 Light"/>
          <w:color w:val="000000" w:themeColor="text1"/>
          <w:lang w:val="it-IT"/>
        </w:rPr>
        <w:t xml:space="preserve">di </w:t>
      </w:r>
      <w:r w:rsidRPr="00C661CD">
        <w:rPr>
          <w:rFonts w:ascii="BMWType V2 Light" w:hAnsi="BMWType V2 Light"/>
          <w:color w:val="000000" w:themeColor="text1"/>
          <w:lang w:val="it-IT"/>
        </w:rPr>
        <w:t>quanto aveva previsto originariamente.</w:t>
      </w:r>
    </w:p>
    <w:p w14:paraId="0C03A1E6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7E0EF62B" w14:textId="77777777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>Tutti questi obiettivi si basano sull’assunzione che le condizioni politiche ed economiche rimangano stabili e che l’economia mondiale continui a crescere.</w:t>
      </w:r>
    </w:p>
    <w:p w14:paraId="0266AC4E" w14:textId="77777777" w:rsidR="007E1280" w:rsidRPr="00C661CD" w:rsidRDefault="007E1280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1F06CF9A" w14:textId="7A251CCA" w:rsidR="00FB18F3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lastRenderedPageBreak/>
        <w:t>Il BMW Group continua a mirare ad un margine EBIT tra l’8% e il 10% e ad un ritorno sul capitale impiegato (</w:t>
      </w:r>
      <w:r w:rsidR="007D60B3" w:rsidRPr="00C661CD">
        <w:rPr>
          <w:rFonts w:ascii="BMWType V2 Light" w:hAnsi="BMWType V2 Light"/>
          <w:color w:val="000000" w:themeColor="text1"/>
          <w:lang w:val="it-IT"/>
        </w:rPr>
        <w:t>Rocce</w:t>
      </w:r>
      <w:r w:rsidRPr="00C661CD">
        <w:rPr>
          <w:rFonts w:ascii="BMWType V2 Light" w:hAnsi="BMWType V2 Light"/>
          <w:color w:val="000000" w:themeColor="text1"/>
          <w:lang w:val="it-IT"/>
        </w:rPr>
        <w:t>) di oltre il 26% per la Divisione Auto nel 2012. La Divisione Servizi Finanziari sta cercando di raggiungere un ritorno sul capitale di almeno il 18%.</w:t>
      </w:r>
    </w:p>
    <w:p w14:paraId="2F9634F6" w14:textId="77777777" w:rsidR="007158AA" w:rsidRPr="00C661CD" w:rsidRDefault="007158AA" w:rsidP="00FB18F3">
      <w:pPr>
        <w:rPr>
          <w:rFonts w:ascii="BMWType V2 Light" w:hAnsi="BMWType V2 Light"/>
          <w:color w:val="000000" w:themeColor="text1"/>
          <w:lang w:val="it-IT"/>
        </w:rPr>
      </w:pPr>
    </w:p>
    <w:p w14:paraId="635703B6" w14:textId="77777777" w:rsidR="00FB18F3" w:rsidRPr="00C661CD" w:rsidRDefault="00FB18F3" w:rsidP="00FB18F3">
      <w:pPr>
        <w:rPr>
          <w:rFonts w:ascii="BMWType V2 Light" w:hAnsi="BMWType V2 Light"/>
          <w:color w:val="000000" w:themeColor="text1"/>
          <w:lang w:val="it-IT"/>
        </w:rPr>
      </w:pPr>
      <w:r w:rsidRPr="00C661CD">
        <w:rPr>
          <w:rFonts w:ascii="BMWType V2 Light" w:hAnsi="BMWType V2 Light"/>
          <w:color w:val="000000" w:themeColor="text1"/>
          <w:lang w:val="it-IT"/>
        </w:rPr>
        <w:t>Il rapporto trimestrale al 30 giugno 2011 sarà pubblicato il 2 agosto 2011.</w:t>
      </w:r>
    </w:p>
    <w:p w14:paraId="773CF368" w14:textId="430459CE" w:rsidR="00D10BE4" w:rsidRDefault="00D10BE4" w:rsidP="00FB18F3">
      <w:pPr>
        <w:rPr>
          <w:rFonts w:ascii="BMWType V2 Light" w:hAnsi="BMWType V2 Light"/>
          <w:b/>
          <w:lang w:val="it-IT"/>
        </w:rPr>
      </w:pPr>
    </w:p>
    <w:p w14:paraId="307A9836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6A2E1719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0538FEDD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76962386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78DDB134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6BE41CE3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20CC6638" w14:textId="77777777" w:rsidR="008C5D99" w:rsidRDefault="008C5D99" w:rsidP="003C3D3D">
      <w:pPr>
        <w:spacing w:line="230" w:lineRule="exact"/>
        <w:rPr>
          <w:rFonts w:ascii="BMWType V2 Light" w:hAnsi="BMWType V2 Light"/>
          <w:sz w:val="18"/>
          <w:lang w:val="it-IT"/>
        </w:rPr>
      </w:pPr>
    </w:p>
    <w:p w14:paraId="5C7A2871" w14:textId="77777777" w:rsidR="008C5D99" w:rsidRDefault="008C5D99" w:rsidP="003C3D3D">
      <w:pPr>
        <w:spacing w:line="230" w:lineRule="exact"/>
        <w:rPr>
          <w:rFonts w:ascii="BMWType V2 Light" w:hAnsi="BMWType V2 Light"/>
          <w:sz w:val="18"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Per ulteriori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C4EA53E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B8A272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29351A31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53A88AA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6199CACE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64063426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D0B848C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1DE8DA89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4EBA8D3" w14:textId="1134649C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5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stabilimenti di produzione dislocati in 1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4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paesi e di una rete di vendita diffusa in più di 140 nazioni.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288A20E1" w14:textId="301F677D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537458CA" w14:textId="4CDCA7B1" w:rsidR="003C3D3D" w:rsidRPr="00D45536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</w:p>
    <w:sectPr w:rsidR="003C3D3D" w:rsidRPr="00D45536" w:rsidSect="006B1840">
      <w:headerReference w:type="default" r:id="rId9"/>
      <w:type w:val="continuous"/>
      <w:pgSz w:w="11907" w:h="16840" w:code="9"/>
      <w:pgMar w:top="2269" w:right="1275" w:bottom="567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987CC3" w:rsidRDefault="00987CC3">
      <w:r>
        <w:separator/>
      </w:r>
    </w:p>
  </w:endnote>
  <w:endnote w:type="continuationSeparator" w:id="0">
    <w:p w14:paraId="63DD79C4" w14:textId="77777777" w:rsidR="00987CC3" w:rsidRDefault="009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987CC3" w:rsidRDefault="00987CC3">
      <w:r>
        <w:separator/>
      </w:r>
    </w:p>
  </w:footnote>
  <w:footnote w:type="continuationSeparator" w:id="0">
    <w:p w14:paraId="1473D712" w14:textId="77777777" w:rsidR="00987CC3" w:rsidRDefault="00987C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987CC3" w:rsidRDefault="00987CC3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1588"/>
    <w:rsid w:val="000027E7"/>
    <w:rsid w:val="00007139"/>
    <w:rsid w:val="00021D7F"/>
    <w:rsid w:val="00024568"/>
    <w:rsid w:val="0002529B"/>
    <w:rsid w:val="00036D28"/>
    <w:rsid w:val="00037383"/>
    <w:rsid w:val="00046C79"/>
    <w:rsid w:val="00060897"/>
    <w:rsid w:val="000641B7"/>
    <w:rsid w:val="0007314A"/>
    <w:rsid w:val="00076409"/>
    <w:rsid w:val="00090EDC"/>
    <w:rsid w:val="000B184D"/>
    <w:rsid w:val="000B2D93"/>
    <w:rsid w:val="000C1126"/>
    <w:rsid w:val="000F16D6"/>
    <w:rsid w:val="000F4BA1"/>
    <w:rsid w:val="00122F52"/>
    <w:rsid w:val="00124186"/>
    <w:rsid w:val="0013677A"/>
    <w:rsid w:val="00147923"/>
    <w:rsid w:val="00155266"/>
    <w:rsid w:val="00157A38"/>
    <w:rsid w:val="00162757"/>
    <w:rsid w:val="00163BCA"/>
    <w:rsid w:val="00164897"/>
    <w:rsid w:val="001655EA"/>
    <w:rsid w:val="0016663D"/>
    <w:rsid w:val="00167460"/>
    <w:rsid w:val="00173C84"/>
    <w:rsid w:val="00176DB1"/>
    <w:rsid w:val="001817F0"/>
    <w:rsid w:val="001845DD"/>
    <w:rsid w:val="00196E82"/>
    <w:rsid w:val="001B6605"/>
    <w:rsid w:val="001B6FBC"/>
    <w:rsid w:val="001C19D8"/>
    <w:rsid w:val="001D7D34"/>
    <w:rsid w:val="002302D9"/>
    <w:rsid w:val="002515D9"/>
    <w:rsid w:val="00264E75"/>
    <w:rsid w:val="002814EB"/>
    <w:rsid w:val="00282A99"/>
    <w:rsid w:val="002A1789"/>
    <w:rsid w:val="002A762E"/>
    <w:rsid w:val="002B0189"/>
    <w:rsid w:val="002C0CA0"/>
    <w:rsid w:val="002C5FB8"/>
    <w:rsid w:val="002D08B1"/>
    <w:rsid w:val="002E724B"/>
    <w:rsid w:val="002F50FB"/>
    <w:rsid w:val="002F526F"/>
    <w:rsid w:val="0030157A"/>
    <w:rsid w:val="00304F02"/>
    <w:rsid w:val="00310AE5"/>
    <w:rsid w:val="0032614D"/>
    <w:rsid w:val="00343C52"/>
    <w:rsid w:val="0035491C"/>
    <w:rsid w:val="00374257"/>
    <w:rsid w:val="003839AE"/>
    <w:rsid w:val="00384471"/>
    <w:rsid w:val="00397E2F"/>
    <w:rsid w:val="003A25CB"/>
    <w:rsid w:val="003A3B2A"/>
    <w:rsid w:val="003A49BC"/>
    <w:rsid w:val="003B4981"/>
    <w:rsid w:val="003B4F2E"/>
    <w:rsid w:val="003B76B9"/>
    <w:rsid w:val="003C0AD8"/>
    <w:rsid w:val="003C3D3D"/>
    <w:rsid w:val="003E0E06"/>
    <w:rsid w:val="00453524"/>
    <w:rsid w:val="0049538E"/>
    <w:rsid w:val="004B7F71"/>
    <w:rsid w:val="004D056A"/>
    <w:rsid w:val="004D3344"/>
    <w:rsid w:val="004D711E"/>
    <w:rsid w:val="004E22B7"/>
    <w:rsid w:val="004E6EAF"/>
    <w:rsid w:val="004F0E0C"/>
    <w:rsid w:val="004F14C5"/>
    <w:rsid w:val="00513BED"/>
    <w:rsid w:val="005221B7"/>
    <w:rsid w:val="0052403B"/>
    <w:rsid w:val="00552C6C"/>
    <w:rsid w:val="00555473"/>
    <w:rsid w:val="005672CF"/>
    <w:rsid w:val="0057721B"/>
    <w:rsid w:val="005853B3"/>
    <w:rsid w:val="005967EE"/>
    <w:rsid w:val="005A2638"/>
    <w:rsid w:val="005A45DE"/>
    <w:rsid w:val="005A5716"/>
    <w:rsid w:val="005B5884"/>
    <w:rsid w:val="005C1B42"/>
    <w:rsid w:val="005C48E1"/>
    <w:rsid w:val="005F38EF"/>
    <w:rsid w:val="005F5620"/>
    <w:rsid w:val="00611F2D"/>
    <w:rsid w:val="006232C9"/>
    <w:rsid w:val="0064628E"/>
    <w:rsid w:val="00647A3A"/>
    <w:rsid w:val="00654849"/>
    <w:rsid w:val="0066174F"/>
    <w:rsid w:val="006667C8"/>
    <w:rsid w:val="00673B72"/>
    <w:rsid w:val="00683B37"/>
    <w:rsid w:val="00684B02"/>
    <w:rsid w:val="006A1BA1"/>
    <w:rsid w:val="006A3469"/>
    <w:rsid w:val="006B1840"/>
    <w:rsid w:val="006B74E0"/>
    <w:rsid w:val="006D2E03"/>
    <w:rsid w:val="006D3E0D"/>
    <w:rsid w:val="006E7D20"/>
    <w:rsid w:val="006F35B9"/>
    <w:rsid w:val="0070565D"/>
    <w:rsid w:val="007158AA"/>
    <w:rsid w:val="00744072"/>
    <w:rsid w:val="00747163"/>
    <w:rsid w:val="00750515"/>
    <w:rsid w:val="00757B4A"/>
    <w:rsid w:val="00761734"/>
    <w:rsid w:val="007621CB"/>
    <w:rsid w:val="007629B5"/>
    <w:rsid w:val="0076401C"/>
    <w:rsid w:val="007650D1"/>
    <w:rsid w:val="00775B4E"/>
    <w:rsid w:val="007879D7"/>
    <w:rsid w:val="007906CB"/>
    <w:rsid w:val="007A4342"/>
    <w:rsid w:val="007D60B3"/>
    <w:rsid w:val="007E1280"/>
    <w:rsid w:val="007F1CDD"/>
    <w:rsid w:val="007F2C61"/>
    <w:rsid w:val="0080398A"/>
    <w:rsid w:val="00806EBF"/>
    <w:rsid w:val="00813B66"/>
    <w:rsid w:val="008250F7"/>
    <w:rsid w:val="0082630C"/>
    <w:rsid w:val="00840E49"/>
    <w:rsid w:val="00881463"/>
    <w:rsid w:val="0089083A"/>
    <w:rsid w:val="0089627B"/>
    <w:rsid w:val="008C5D99"/>
    <w:rsid w:val="008D1596"/>
    <w:rsid w:val="008E1F39"/>
    <w:rsid w:val="008E78E1"/>
    <w:rsid w:val="008F1477"/>
    <w:rsid w:val="00907281"/>
    <w:rsid w:val="009134E3"/>
    <w:rsid w:val="00920A4C"/>
    <w:rsid w:val="009225A9"/>
    <w:rsid w:val="00934CB0"/>
    <w:rsid w:val="009359E3"/>
    <w:rsid w:val="00935CAF"/>
    <w:rsid w:val="00942077"/>
    <w:rsid w:val="00944B67"/>
    <w:rsid w:val="0096249F"/>
    <w:rsid w:val="00964F20"/>
    <w:rsid w:val="0097212A"/>
    <w:rsid w:val="00987CC3"/>
    <w:rsid w:val="00990FD1"/>
    <w:rsid w:val="0099160F"/>
    <w:rsid w:val="00996D60"/>
    <w:rsid w:val="009A4DB4"/>
    <w:rsid w:val="009B14E2"/>
    <w:rsid w:val="009B6FBB"/>
    <w:rsid w:val="009F2598"/>
    <w:rsid w:val="009F43A7"/>
    <w:rsid w:val="009F6B65"/>
    <w:rsid w:val="00A00082"/>
    <w:rsid w:val="00A0141D"/>
    <w:rsid w:val="00A2604E"/>
    <w:rsid w:val="00A404E7"/>
    <w:rsid w:val="00A52EBD"/>
    <w:rsid w:val="00A545D9"/>
    <w:rsid w:val="00A65B12"/>
    <w:rsid w:val="00A71368"/>
    <w:rsid w:val="00AA5DA2"/>
    <w:rsid w:val="00B2669F"/>
    <w:rsid w:val="00B8749E"/>
    <w:rsid w:val="00BC60C5"/>
    <w:rsid w:val="00BE54CC"/>
    <w:rsid w:val="00C37024"/>
    <w:rsid w:val="00C4304C"/>
    <w:rsid w:val="00C4733B"/>
    <w:rsid w:val="00C55184"/>
    <w:rsid w:val="00C77461"/>
    <w:rsid w:val="00CA0F21"/>
    <w:rsid w:val="00CD64CC"/>
    <w:rsid w:val="00D04167"/>
    <w:rsid w:val="00D10BE4"/>
    <w:rsid w:val="00D12D6D"/>
    <w:rsid w:val="00D1368B"/>
    <w:rsid w:val="00D30DE7"/>
    <w:rsid w:val="00D44F86"/>
    <w:rsid w:val="00D45536"/>
    <w:rsid w:val="00D534E2"/>
    <w:rsid w:val="00D62F3A"/>
    <w:rsid w:val="00D74825"/>
    <w:rsid w:val="00D75DD7"/>
    <w:rsid w:val="00D8466A"/>
    <w:rsid w:val="00D90445"/>
    <w:rsid w:val="00D906A0"/>
    <w:rsid w:val="00D96298"/>
    <w:rsid w:val="00DA71EE"/>
    <w:rsid w:val="00DB328F"/>
    <w:rsid w:val="00DC2E2B"/>
    <w:rsid w:val="00DE0992"/>
    <w:rsid w:val="00DF50DF"/>
    <w:rsid w:val="00E06E71"/>
    <w:rsid w:val="00E07892"/>
    <w:rsid w:val="00E16C76"/>
    <w:rsid w:val="00E20EE8"/>
    <w:rsid w:val="00E21132"/>
    <w:rsid w:val="00E21A08"/>
    <w:rsid w:val="00E3606A"/>
    <w:rsid w:val="00E36E3F"/>
    <w:rsid w:val="00E47EED"/>
    <w:rsid w:val="00E649B4"/>
    <w:rsid w:val="00E968BF"/>
    <w:rsid w:val="00EC1B98"/>
    <w:rsid w:val="00EC1CA8"/>
    <w:rsid w:val="00EC6062"/>
    <w:rsid w:val="00EE2578"/>
    <w:rsid w:val="00EE7040"/>
    <w:rsid w:val="00EE7C6F"/>
    <w:rsid w:val="00EF741A"/>
    <w:rsid w:val="00F1001A"/>
    <w:rsid w:val="00F3492C"/>
    <w:rsid w:val="00F37E9B"/>
    <w:rsid w:val="00F5574C"/>
    <w:rsid w:val="00F64444"/>
    <w:rsid w:val="00F649BF"/>
    <w:rsid w:val="00F71879"/>
    <w:rsid w:val="00F823A1"/>
    <w:rsid w:val="00FB18F3"/>
    <w:rsid w:val="00FC035C"/>
    <w:rsid w:val="00FC0B65"/>
    <w:rsid w:val="00FC4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98</TotalTime>
  <Pages>2</Pages>
  <Words>717</Words>
  <Characters>4087</Characters>
  <Application>Microsoft Macintosh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126</cp:revision>
  <cp:lastPrinted>2011-06-08T14:18:00Z</cp:lastPrinted>
  <dcterms:created xsi:type="dcterms:W3CDTF">2011-03-09T16:20:00Z</dcterms:created>
  <dcterms:modified xsi:type="dcterms:W3CDTF">2011-07-13T13:39:00Z</dcterms:modified>
</cp:coreProperties>
</file>