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747E0C" w:rsidRDefault="00121E03" w:rsidP="001B6E80">
      <w:pPr>
        <w:pStyle w:val="zzmarginalielight"/>
        <w:framePr w:w="1337" w:h="5165" w:hRule="exact" w:wrap="around" w:x="614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196AFA1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69582224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28D6118F" w:rsidR="002B0D38" w:rsidRPr="00A413AC" w:rsidRDefault="002B0D38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N. </w:t>
      </w:r>
      <w:r w:rsidR="00B92A0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0</w:t>
      </w:r>
      <w:r w:rsidR="00332238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73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/16</w:t>
      </w:r>
    </w:p>
    <w:p w14:paraId="7BCE96BC" w14:textId="1393569D" w:rsidR="002B0D38" w:rsidRPr="00A413AC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BMWType V2 Light" w:hAnsi="BMW Group Light" w:cs="BMW Group Light"/>
          <w:u w:color="000000"/>
          <w:lang w:val="it-IT" w:eastAsia="de-DE"/>
        </w:rPr>
      </w:pPr>
    </w:p>
    <w:p w14:paraId="3F799FEF" w14:textId="07EF091A" w:rsidR="002B0D38" w:rsidRPr="00A413AC" w:rsidRDefault="00B02DF1" w:rsidP="00653690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>
        <w:rPr>
          <w:rFonts w:ascii="BMW Group Light" w:eastAsia="BMWType V2 Light" w:hAnsi="BMW Group Light" w:cs="BMW Group Light"/>
          <w:u w:color="000000"/>
          <w:lang w:val="it-IT" w:eastAsia="de-DE"/>
        </w:rPr>
        <w:t>San Donato Milanese, 2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332238">
        <w:rPr>
          <w:rFonts w:ascii="BMW Group Light" w:eastAsia="BMWType V2 Light" w:hAnsi="BMW Group Light" w:cs="BMW Group Light"/>
          <w:u w:color="000000"/>
          <w:lang w:val="it-IT" w:eastAsia="de-DE"/>
        </w:rPr>
        <w:t>giugno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2016</w:t>
      </w:r>
      <w:r w:rsidR="00FE5545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4F71DDBF" w14:textId="77777777" w:rsidR="00332238" w:rsidRPr="00332238" w:rsidRDefault="003322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</w:pPr>
      <w:r w:rsidRPr="00332238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>BMW i8 vince l’Engine of the Year Award 2016</w:t>
      </w:r>
    </w:p>
    <w:p w14:paraId="5E54D4A8" w14:textId="18B739D3" w:rsidR="00332238" w:rsidRPr="00332238" w:rsidRDefault="003322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</w:pPr>
      <w:r w:rsidRPr="00332238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Nella </w:t>
      </w:r>
      <w:r w:rsidR="00587AF3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competizione</w:t>
      </w:r>
      <w:r w:rsidRPr="00332238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più prestigiosa al mondo</w:t>
      </w:r>
      <w:r w:rsidR="00587AF3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che premia i motori</w:t>
      </w:r>
      <w:r w:rsidR="00145D10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,</w:t>
      </w:r>
      <w:r w:rsidR="00145D10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br/>
      </w:r>
      <w:bookmarkStart w:id="2" w:name="_GoBack"/>
      <w:bookmarkEnd w:id="2"/>
      <w:r w:rsidRPr="00332238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il sistema propulsivo plug-in </w:t>
      </w:r>
      <w:r w:rsidR="00587AF3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hybrid</w:t>
      </w:r>
      <w:r w:rsidRPr="00332238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che alimenta la BMW i8 ha trionfato nella sua categoria </w:t>
      </w:r>
      <w:r w:rsidR="00095A08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per il secondo anno consecutivo</w:t>
      </w:r>
      <w:r w:rsidRPr="00332238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</w:t>
      </w:r>
    </w:p>
    <w:p w14:paraId="2461EB1D" w14:textId="77777777" w:rsidR="006A693D" w:rsidRPr="006A693D" w:rsidRDefault="006A693D" w:rsidP="006A693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  <w:r w:rsidRPr="006A693D">
        <w:rPr>
          <w:rFonts w:ascii="BMW Group Light" w:eastAsia="BMW Group Light" w:hAnsi="BMW Group Light" w:cs="BMW Group Light"/>
          <w:lang w:val="it-IT"/>
        </w:rPr>
        <w:t xml:space="preserve"> </w:t>
      </w:r>
    </w:p>
    <w:p w14:paraId="3ABAD88F" w14:textId="73642195" w:rsidR="00332238" w:rsidRPr="00332238" w:rsidRDefault="00093DD9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  <w:r w:rsidRPr="00093DD9">
        <w:rPr>
          <w:rFonts w:ascii="BMW Group Bold" w:eastAsia="Times New Roman" w:hAnsi="BMW Group Bold" w:cs="BMW Group Light"/>
          <w:color w:val="auto"/>
          <w:lang w:val="it-IT" w:eastAsia="de-DE"/>
        </w:rPr>
        <w:t>San Donato Milanese.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="00332238" w:rsidRPr="00332238">
        <w:rPr>
          <w:rFonts w:ascii="BMW Group Light" w:eastAsia="BMW Group Light" w:hAnsi="BMW Group Light" w:cs="BMW Group Light"/>
          <w:lang w:val="it-IT"/>
        </w:rPr>
        <w:t xml:space="preserve">Anche quest’anno, dopo la vittoria finale e due vittorie di classe all’International Engine of the Year Awards dell’anno scorso, il sistema di </w:t>
      </w:r>
      <w:r w:rsidR="009F14D5">
        <w:rPr>
          <w:rFonts w:ascii="BMW Group Light" w:eastAsia="BMW Group Light" w:hAnsi="BMW Group Light" w:cs="BMW Group Light"/>
          <w:lang w:val="it-IT"/>
        </w:rPr>
        <w:t>propulsione</w:t>
      </w:r>
      <w:r w:rsidR="00332238" w:rsidRPr="00332238">
        <w:rPr>
          <w:rFonts w:ascii="BMW Group Light" w:eastAsia="BMW Group Light" w:hAnsi="BMW Group Light" w:cs="BMW Group Light"/>
          <w:lang w:val="it-IT"/>
        </w:rPr>
        <w:t xml:space="preserve"> che alimenta la BMW i8 ha trionfato ancora una volta nella sua categoria, quella da 1,4 litri a 1,8 litri. Il successo del BMW Group nell’International Engine of the Year Awards 2016 è un’ulteriore dimostrazione delle elevate prestazioni del pacchetto tecnologico Efficient Dynamics, che dal 2007 ha consentito un costante miglioramento del piacere di guida, riducendo allo stesso tempo il consumo di carburante e le emissioni.</w:t>
      </w:r>
    </w:p>
    <w:p w14:paraId="2D12B79F" w14:textId="77777777" w:rsidR="00332238" w:rsidRPr="00332238" w:rsidRDefault="003322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</w:p>
    <w:p w14:paraId="421B2827" w14:textId="6A234531" w:rsidR="00332238" w:rsidRPr="00332238" w:rsidRDefault="003322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  <w:r w:rsidRPr="00332238">
        <w:rPr>
          <w:rFonts w:ascii="BMW Group Light" w:eastAsia="BMW Group Light" w:hAnsi="BMW Group Light" w:cs="BMW Group Light"/>
          <w:lang w:val="it-IT"/>
        </w:rPr>
        <w:t xml:space="preserve">Gli International Engine of the Year Awards sono stati lanciati nel 1999, e da allora i propulsori sviluppati per i modelli BMW si sono aggiudicati ben 67 vittorie di categoria e globali. Ogni anno, </w:t>
      </w:r>
      <w:r w:rsidR="00587AF3">
        <w:rPr>
          <w:rFonts w:ascii="BMW Group Light" w:eastAsia="BMW Group Light" w:hAnsi="BMW Group Light" w:cs="BMW Group Light"/>
          <w:lang w:val="it-IT"/>
        </w:rPr>
        <w:t xml:space="preserve">una giuria di esperti, che quest’anno è stata </w:t>
      </w:r>
      <w:r w:rsidR="00587AF3" w:rsidRPr="00332238">
        <w:rPr>
          <w:rFonts w:ascii="BMW Group Light" w:eastAsia="BMW Group Light" w:hAnsi="BMW Group Light" w:cs="BMW Group Light"/>
          <w:lang w:val="it-IT"/>
        </w:rPr>
        <w:t>composta da 63 giornalisti specializzati provenienti da 31 Paesi</w:t>
      </w:r>
      <w:r w:rsidR="00587AF3">
        <w:rPr>
          <w:rFonts w:ascii="BMW Group Light" w:eastAsia="BMW Group Light" w:hAnsi="BMW Group Light" w:cs="BMW Group Light"/>
          <w:lang w:val="it-IT"/>
        </w:rPr>
        <w:t xml:space="preserve">, </w:t>
      </w:r>
      <w:r w:rsidRPr="00332238">
        <w:rPr>
          <w:rFonts w:ascii="BMW Group Light" w:eastAsia="BMW Group Light" w:hAnsi="BMW Group Light" w:cs="BMW Group Light"/>
          <w:lang w:val="it-IT"/>
        </w:rPr>
        <w:t xml:space="preserve">seleziona i migliori esempi </w:t>
      </w:r>
      <w:r w:rsidR="00587AF3">
        <w:rPr>
          <w:rFonts w:ascii="BMW Group Light" w:eastAsia="BMW Group Light" w:hAnsi="BMW Group Light" w:cs="BMW Group Light"/>
          <w:lang w:val="it-IT"/>
        </w:rPr>
        <w:t>di</w:t>
      </w:r>
      <w:r w:rsidRPr="00332238">
        <w:rPr>
          <w:rFonts w:ascii="BMW Group Light" w:eastAsia="BMW Group Light" w:hAnsi="BMW Group Light" w:cs="BMW Group Light"/>
          <w:lang w:val="it-IT"/>
        </w:rPr>
        <w:t xml:space="preserve"> numerose categorie. I vincitori e i rispettivi premi sono stati presentati mercoledì 1° giugno 2016, sullo sfondo della fiera Engine Expo di Stoccarda.</w:t>
      </w:r>
    </w:p>
    <w:p w14:paraId="26E02E65" w14:textId="77777777" w:rsidR="00332238" w:rsidRPr="00332238" w:rsidRDefault="003322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</w:p>
    <w:p w14:paraId="0160A473" w14:textId="731D2FE6" w:rsidR="00332238" w:rsidRPr="00332238" w:rsidRDefault="00416F6C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Il sistema propulsivo plug-in-hybrid </w:t>
      </w:r>
      <w:r w:rsidR="00332238" w:rsidRPr="00332238">
        <w:rPr>
          <w:rFonts w:ascii="BMW Group Light" w:eastAsia="BMW Group Light" w:hAnsi="BMW Group Light" w:cs="BMW Group Light"/>
          <w:lang w:val="it-IT"/>
        </w:rPr>
        <w:t>che alimenta la BMW i8 combina le prestazioni di un’auto sportiva con il risparmio di carburante di un modello di gran lunga inferiore. Il motore a combustione a tre cilindri sviluppa 170 kW/231 CV e aziona le ruote posteriori, mentre il motore elettrico 96 kW/131 CV trasmette la sua potenza all’asse anteriore ed è alimentato da una batteria agli ioni di litio, che può essere caricata collegandola a una presa elettrica convenzionale. L’eccezionale sistema plug-in-</w:t>
      </w:r>
      <w:r w:rsidR="00095A08">
        <w:rPr>
          <w:rFonts w:ascii="BMW Group Light" w:eastAsia="BMW Group Light" w:hAnsi="BMW Group Light" w:cs="BMW Group Light"/>
          <w:lang w:val="it-IT"/>
        </w:rPr>
        <w:t>hybrid</w:t>
      </w:r>
      <w:r w:rsidR="00332238" w:rsidRPr="00332238">
        <w:rPr>
          <w:rFonts w:ascii="BMW Group Light" w:eastAsia="BMW Group Light" w:hAnsi="BMW Group Light" w:cs="BMW Group Light"/>
          <w:lang w:val="it-IT"/>
        </w:rPr>
        <w:t>, sviluppato e prodotto dal BMW Group, raggiunge un’autonomia di 37 km nel ciclo di prova UE e una velocità massima di 120 km/</w:t>
      </w:r>
      <w:r w:rsidR="00095A08">
        <w:rPr>
          <w:rFonts w:ascii="BMW Group Light" w:eastAsia="BMW Group Light" w:hAnsi="BMW Group Light" w:cs="BMW Group Light"/>
          <w:lang w:val="it-IT"/>
        </w:rPr>
        <w:t>h</w:t>
      </w:r>
      <w:r w:rsidR="00332238" w:rsidRPr="00332238">
        <w:rPr>
          <w:rFonts w:ascii="BMW Group Light" w:eastAsia="BMW Group Light" w:hAnsi="BMW Group Light" w:cs="BMW Group Light"/>
          <w:lang w:val="it-IT"/>
        </w:rPr>
        <w:t xml:space="preserve"> con il solo</w:t>
      </w:r>
      <w:r w:rsidR="00095A08">
        <w:rPr>
          <w:rFonts w:ascii="BMW Group Light" w:eastAsia="BMW Group Light" w:hAnsi="BMW Group Light" w:cs="BMW Group Light"/>
          <w:lang w:val="it-IT"/>
        </w:rPr>
        <w:t xml:space="preserve"> motore elettrico, garantendo un’</w:t>
      </w:r>
      <w:r w:rsidR="00332238" w:rsidRPr="00332238">
        <w:rPr>
          <w:rFonts w:ascii="BMW Group Light" w:eastAsia="BMW Group Light" w:hAnsi="BMW Group Light" w:cs="BMW Group Light"/>
          <w:lang w:val="it-IT"/>
        </w:rPr>
        <w:t>esperienza di guida “incollata alla strada” a quattro ruote motrici, caratterizzata da una potente ripresa e da un’ottimale distribuzione della potenza in curva.</w:t>
      </w:r>
    </w:p>
    <w:p w14:paraId="73917563" w14:textId="77777777" w:rsidR="00332238" w:rsidRPr="00332238" w:rsidRDefault="003322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</w:p>
    <w:p w14:paraId="2E515E37" w14:textId="77777777" w:rsidR="00332238" w:rsidRPr="00332238" w:rsidRDefault="003322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  <w:r w:rsidRPr="00332238">
        <w:rPr>
          <w:rFonts w:ascii="BMW Group Light" w:eastAsia="BMW Group Light" w:hAnsi="BMW Group Light" w:cs="BMW Group Light"/>
          <w:lang w:val="it-IT"/>
        </w:rPr>
        <w:t xml:space="preserve">L’incrementata potenza delle due fonti di alimentazione viene trasmessa alle ruote posteriori, utilizzando la spinta elettrica del sistema ibrido, per offrire il massimo piacere di guida BMW abbinato a nuovissimi standard di efficienza. </w:t>
      </w:r>
    </w:p>
    <w:p w14:paraId="02981DC1" w14:textId="77777777" w:rsidR="00332238" w:rsidRPr="00332238" w:rsidRDefault="003322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</w:p>
    <w:p w14:paraId="20F6178F" w14:textId="1EEFDA41" w:rsidR="00332238" w:rsidRPr="00332238" w:rsidRDefault="003322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  <w:r w:rsidRPr="00332238">
        <w:rPr>
          <w:rFonts w:ascii="BMW Group Light" w:eastAsia="BMW Group Light" w:hAnsi="BMW Group Light" w:cs="BMW Group Light"/>
          <w:lang w:val="it-IT"/>
        </w:rPr>
        <w:t>Lo sprint da 0 a 100 km/h è raggiunto in soli 4,4 secondi. Tuttavia, il consumo combinato di carburante, come calcolato nel ciclo di prova UE per i veicoli ibridi plug-in, si attesta a 2,1 litri per 100 chilometri, con un consumo di 11,9 kWh di energia elettrica. Ciò equivale a 49 grammi di emissioni di CO</w:t>
      </w:r>
      <w:r w:rsidRPr="005173C4">
        <w:rPr>
          <w:rFonts w:ascii="BMW Group Light Regular" w:eastAsia="BMW Group Light" w:hAnsi="BMW Group Light Regular" w:cs="BMW Group Light"/>
          <w:vertAlign w:val="subscript"/>
          <w:lang w:val="it-IT"/>
        </w:rPr>
        <w:t>2</w:t>
      </w:r>
      <w:r w:rsidRPr="00332238">
        <w:rPr>
          <w:rFonts w:ascii="BMW Group Light" w:eastAsia="BMW Group Light" w:hAnsi="BMW Group Light" w:cs="BMW Group Light"/>
          <w:lang w:val="it-IT"/>
        </w:rPr>
        <w:t xml:space="preserve"> per chilometro. </w:t>
      </w:r>
      <w:r w:rsidR="00635C19">
        <w:rPr>
          <w:rFonts w:ascii="BMW Group Light" w:eastAsia="BMW Group Light" w:hAnsi="BMW Group Light" w:cs="BMW Group Light"/>
          <w:lang w:val="it-IT"/>
        </w:rPr>
        <w:br/>
      </w:r>
    </w:p>
    <w:p w14:paraId="1BF280EC" w14:textId="013865A8" w:rsidR="00332238" w:rsidRPr="002D45F9" w:rsidRDefault="003322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sz w:val="18"/>
          <w:szCs w:val="18"/>
          <w:lang w:val="it-IT"/>
        </w:rPr>
      </w:pPr>
      <w:r w:rsidRPr="002D45F9">
        <w:rPr>
          <w:rFonts w:ascii="BMW Group Light" w:eastAsia="BMW Group Light" w:hAnsi="BMW Group Light" w:cs="BMW Group Light"/>
          <w:sz w:val="18"/>
          <w:szCs w:val="18"/>
          <w:lang w:val="it-IT"/>
        </w:rPr>
        <w:t>Ulteriori informazioni sui dati relativi al consumo ufficiale di carburante, i valori specifici delle emissioni CO</w:t>
      </w:r>
      <w:r w:rsidRPr="005173C4">
        <w:rPr>
          <w:rFonts w:ascii="BMW Group Light Regular" w:eastAsia="BMW Group Light" w:hAnsi="BMW Group Light Regular" w:cs="BMW Group Light"/>
          <w:sz w:val="18"/>
          <w:szCs w:val="18"/>
          <w:vertAlign w:val="subscript"/>
          <w:lang w:val="it-IT"/>
        </w:rPr>
        <w:t>2</w:t>
      </w:r>
      <w:r w:rsidRPr="002D45F9">
        <w:rPr>
          <w:rFonts w:ascii="BMW Group Light" w:eastAsia="BMW Group Light" w:hAnsi="BMW Group Light" w:cs="BMW Group Light"/>
          <w:sz w:val="18"/>
          <w:szCs w:val="18"/>
          <w:lang w:val="it-IT"/>
        </w:rPr>
        <w:t xml:space="preserve"> e il consumo di energia elettrica delle nuove autovetture sono disponibili nel “Leitfaden über Kraftstoffverbrauch, die CO</w:t>
      </w:r>
      <w:r w:rsidR="005173C4" w:rsidRPr="005173C4">
        <w:rPr>
          <w:rFonts w:ascii="BMW Group Light Regular" w:eastAsia="BMW Group Light" w:hAnsi="BMW Group Light Regular" w:cs="BMW Group Light"/>
          <w:sz w:val="18"/>
          <w:szCs w:val="18"/>
          <w:vertAlign w:val="subscript"/>
          <w:lang w:val="it-IT"/>
        </w:rPr>
        <w:t>2</w:t>
      </w:r>
      <w:r w:rsidRPr="002D45F9">
        <w:rPr>
          <w:rFonts w:ascii="BMW Group Light" w:eastAsia="BMW Group Light" w:hAnsi="BMW Group Light" w:cs="BMW Group Light"/>
          <w:sz w:val="18"/>
          <w:szCs w:val="18"/>
          <w:lang w:val="it-IT"/>
        </w:rPr>
        <w:t>-Emissionen und den Stromverbrauch neuer Personenkraftwagen” (linee guida per il consumo di carburante, le emissioni di CO</w:t>
      </w:r>
      <w:r w:rsidR="005173C4" w:rsidRPr="005173C4">
        <w:rPr>
          <w:rFonts w:ascii="BMW Group Light Regular" w:eastAsia="BMW Group Light" w:hAnsi="BMW Group Light Regular" w:cs="BMW Group Light"/>
          <w:sz w:val="18"/>
          <w:szCs w:val="18"/>
          <w:vertAlign w:val="subscript"/>
          <w:lang w:val="it-IT"/>
        </w:rPr>
        <w:t>2</w:t>
      </w:r>
      <w:r w:rsidR="005173C4">
        <w:rPr>
          <w:rFonts w:ascii="BMW Group Light Regular" w:eastAsia="BMW Group Light" w:hAnsi="BMW Group Light Regular" w:cs="BMW Group Light"/>
          <w:sz w:val="18"/>
          <w:szCs w:val="18"/>
          <w:vertAlign w:val="subscript"/>
          <w:lang w:val="it-IT"/>
        </w:rPr>
        <w:t xml:space="preserve"> </w:t>
      </w:r>
      <w:r w:rsidRPr="002D45F9">
        <w:rPr>
          <w:rFonts w:ascii="BMW Group Light" w:eastAsia="BMW Group Light" w:hAnsi="BMW Group Light" w:cs="BMW Group Light"/>
          <w:sz w:val="18"/>
          <w:szCs w:val="18"/>
          <w:lang w:val="it-IT"/>
        </w:rPr>
        <w:t>e il consumo di energia elettrica delle nuove autovetture), distribuito da tutte le concessionarie, da Deutschen Automobil Treuhand GmbH (DAT), Hellmuth-Hirth-Str. 1, 73760 Ostfildern-Scharnhausen e al sito web http://www.dat.de/en/offers/publications/guideline-for-fuel-consumption.html. LeitfadenCO2 (GuidelineCO2) (PDF - 2,7 MB)</w:t>
      </w:r>
    </w:p>
    <w:p w14:paraId="37F9748F" w14:textId="0E219E19" w:rsidR="002B0D38" w:rsidRPr="00A413AC" w:rsidRDefault="002B0D38" w:rsidP="003322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</w:p>
    <w:p w14:paraId="33E2633F" w14:textId="5279C1DB" w:rsidR="009A1F79" w:rsidRPr="00EB3DD7" w:rsidRDefault="00D0171E" w:rsidP="009A1F7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bookmarkStart w:id="3" w:name="OLE_LINK3"/>
      <w:bookmarkStart w:id="4" w:name="OLE_LINK4"/>
      <w:bookmarkStart w:id="5" w:name="OLE_LINK5"/>
      <w:r>
        <w:rPr>
          <w:rFonts w:ascii="BMW Group Light" w:hAnsi="BMW Group Light" w:cs="BMW Group Light"/>
          <w:color w:val="000000"/>
          <w:szCs w:val="22"/>
          <w:lang w:val="it-IT"/>
        </w:rPr>
        <w:br/>
      </w:r>
      <w:r w:rsidR="009A1F79" w:rsidRPr="00EB3DD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  <w:r w:rsidR="009A1F79" w:rsidRPr="00EB3DD7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46B11E6D" w14:textId="342E0E1D" w:rsidR="002B0D38" w:rsidRPr="00EB3DD7" w:rsidRDefault="006B26A1" w:rsidP="009A1F79">
      <w:pPr>
        <w:tabs>
          <w:tab w:val="left" w:pos="8505"/>
        </w:tabs>
        <w:spacing w:line="240" w:lineRule="exact"/>
        <w:ind w:right="-120"/>
        <w:rPr>
          <w:rFonts w:ascii="BMW Group Light" w:hAnsi="BMW Group Light" w:cs="BMW Group Light"/>
          <w:sz w:val="20"/>
          <w:szCs w:val="20"/>
          <w:lang w:val="it-IT"/>
        </w:rPr>
      </w:pPr>
      <w:r w:rsidRPr="00EB3DD7">
        <w:rPr>
          <w:rFonts w:ascii="BMW Group Light" w:hAnsi="BMW Group Light" w:cs="BMW Group Light"/>
          <w:sz w:val="20"/>
          <w:szCs w:val="20"/>
          <w:lang w:val="it-IT"/>
        </w:rPr>
        <w:t>Alessandro</w:t>
      </w:r>
      <w:r w:rsidR="002B0D38" w:rsidRPr="00EB3DD7">
        <w:rPr>
          <w:rFonts w:ascii="BMW Group Light" w:hAnsi="BMW Group Light" w:cs="BMW Group Light"/>
          <w:sz w:val="20"/>
          <w:szCs w:val="20"/>
          <w:lang w:val="it-IT"/>
        </w:rPr>
        <w:t xml:space="preserve"> </w:t>
      </w:r>
      <w:r w:rsidRPr="00EB3DD7">
        <w:rPr>
          <w:rFonts w:ascii="BMW Group Light" w:hAnsi="BMW Group Light" w:cs="BMW Group Light"/>
          <w:sz w:val="20"/>
          <w:szCs w:val="20"/>
          <w:lang w:val="it-IT"/>
        </w:rPr>
        <w:t>Toffanin</w:t>
      </w:r>
      <w:r w:rsidR="009A1F79" w:rsidRPr="00EB3DD7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13E920C1" w14:textId="29576AF5" w:rsidR="002B0D38" w:rsidRPr="00EB3DD7" w:rsidRDefault="006B26A1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 w:val="20"/>
          <w:szCs w:val="20"/>
          <w:lang w:val="en-US"/>
        </w:rPr>
      </w:pPr>
      <w:r w:rsidRPr="00EB3DD7">
        <w:rPr>
          <w:rFonts w:ascii="BMW Group Light" w:hAnsi="BMW Group Light" w:cs="BMW Group Light"/>
          <w:sz w:val="20"/>
          <w:szCs w:val="20"/>
          <w:lang w:val="en-US"/>
        </w:rPr>
        <w:t>Product</w:t>
      </w:r>
      <w:r w:rsidR="002B0D38" w:rsidRPr="00EB3DD7">
        <w:rPr>
          <w:rFonts w:ascii="BMW Group Light" w:hAnsi="BMW Group Light" w:cs="BMW Group Light"/>
          <w:sz w:val="20"/>
          <w:szCs w:val="20"/>
          <w:lang w:val="en-US"/>
        </w:rPr>
        <w:t xml:space="preserve"> </w:t>
      </w:r>
      <w:r w:rsidRPr="00EB3DD7">
        <w:rPr>
          <w:rFonts w:ascii="BMW Group Light" w:hAnsi="BMW Group Light" w:cs="BMW Group Light"/>
          <w:sz w:val="20"/>
          <w:szCs w:val="20"/>
          <w:lang w:val="en-US"/>
        </w:rPr>
        <w:t>Communication</w:t>
      </w:r>
    </w:p>
    <w:p w14:paraId="46C2874D" w14:textId="0A7D27AD" w:rsidR="002B0D38" w:rsidRPr="00EB3DD7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 w:val="20"/>
          <w:szCs w:val="20"/>
          <w:lang w:val="en-US"/>
        </w:rPr>
      </w:pPr>
      <w:r w:rsidRPr="00EB3DD7">
        <w:rPr>
          <w:rFonts w:ascii="BMW Group Light" w:hAnsi="BMW Group Light" w:cs="BMW Group Light"/>
          <w:sz w:val="20"/>
          <w:szCs w:val="20"/>
          <w:lang w:val="en-US"/>
        </w:rPr>
        <w:t xml:space="preserve">E-mail: </w:t>
      </w:r>
      <w:r w:rsidR="006B26A1" w:rsidRPr="00EB3DD7">
        <w:rPr>
          <w:rFonts w:ascii="BMW Group Light" w:hAnsi="BMW Group Light" w:cs="BMW Group Light"/>
          <w:sz w:val="20"/>
          <w:szCs w:val="20"/>
          <w:lang w:val="en-US"/>
        </w:rPr>
        <w:t>alessandro</w:t>
      </w:r>
      <w:r w:rsidRPr="00EB3DD7">
        <w:rPr>
          <w:rFonts w:ascii="BMW Group Light" w:hAnsi="BMW Group Light" w:cs="BMW Group Light"/>
          <w:sz w:val="20"/>
          <w:szCs w:val="20"/>
          <w:lang w:val="en-US"/>
        </w:rPr>
        <w:t>.</w:t>
      </w:r>
      <w:r w:rsidR="006B26A1" w:rsidRPr="00EB3DD7">
        <w:rPr>
          <w:rFonts w:ascii="BMW Group Light" w:hAnsi="BMW Group Light" w:cs="BMW Group Light"/>
          <w:sz w:val="20"/>
          <w:szCs w:val="20"/>
          <w:lang w:val="en-US"/>
        </w:rPr>
        <w:t>toffanin</w:t>
      </w:r>
      <w:r w:rsidRPr="00EB3DD7">
        <w:rPr>
          <w:rFonts w:ascii="BMW Group Light" w:hAnsi="BMW Group Light" w:cs="BMW Group Light"/>
          <w:sz w:val="20"/>
          <w:szCs w:val="20"/>
          <w:lang w:val="en-US"/>
        </w:rPr>
        <w:t>@bmw.it</w:t>
      </w:r>
    </w:p>
    <w:p w14:paraId="2FCD7568" w14:textId="77777777" w:rsidR="002B0D38" w:rsidRPr="00EB3DD7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 w:val="20"/>
          <w:szCs w:val="20"/>
          <w:lang w:val="en-US"/>
        </w:rPr>
      </w:pPr>
    </w:p>
    <w:p w14:paraId="2E548491" w14:textId="77777777" w:rsidR="002B0D38" w:rsidRPr="00EB3DD7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 w:val="20"/>
          <w:szCs w:val="20"/>
          <w:lang w:val="en-US"/>
        </w:rPr>
      </w:pPr>
    </w:p>
    <w:p w14:paraId="7B6E7794" w14:textId="77777777" w:rsidR="002B0D38" w:rsidRPr="00EB3DD7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r w:rsidRPr="00EB3DD7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Il BMW Group </w:t>
      </w:r>
    </w:p>
    <w:bookmarkEnd w:id="3"/>
    <w:bookmarkEnd w:id="4"/>
    <w:bookmarkEnd w:id="5"/>
    <w:p w14:paraId="7941FBE9" w14:textId="0F7270CA" w:rsidR="006B266B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4A22E4"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1</w:t>
      </w: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stabilimenti di produzione e montaggio in 14 paesi ed ha una rete di vendita globale in oltre 140 paesi.</w:t>
      </w:r>
    </w:p>
    <w:p w14:paraId="736A0E15" w14:textId="77777777" w:rsidR="006B266B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46AB1FF5" w14:textId="77777777" w:rsidR="006B266B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2DF5DC3C" w14:textId="77777777" w:rsidR="006B266B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4C0EC8A8" w14:textId="77777777" w:rsidR="006B266B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E34AD38" w14:textId="77777777" w:rsidR="006B266B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75E63587" w14:textId="77777777" w:rsidR="006B266B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www.bmwgroup.com</w:t>
      </w:r>
    </w:p>
    <w:p w14:paraId="1BA0635F" w14:textId="77777777" w:rsidR="006B266B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Facebook: http://www.facebook.com/BMWGroup</w:t>
      </w:r>
    </w:p>
    <w:p w14:paraId="7310F991" w14:textId="77777777" w:rsidR="006B266B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Twitter: http://twitter.com/BMWGroup</w:t>
      </w:r>
    </w:p>
    <w:p w14:paraId="6D432982" w14:textId="77777777" w:rsidR="006B266B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YouTube: http://www.youtube.com/BMWGroupview</w:t>
      </w:r>
    </w:p>
    <w:p w14:paraId="2DC381E6" w14:textId="449C478D" w:rsidR="00594400" w:rsidRPr="00EB3DD7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hAnsi="BMW Group Light" w:cs="BMW Group Light"/>
          <w:sz w:val="20"/>
          <w:szCs w:val="20"/>
          <w:lang w:val="it-IT"/>
        </w:rPr>
      </w:pPr>
      <w:r w:rsidRPr="00EB3DD7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Google+:http://googleplus.bmwgroup.com</w:t>
      </w:r>
    </w:p>
    <w:sectPr w:rsidR="00594400" w:rsidRPr="00EB3DD7" w:rsidSect="00EB3DD7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218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36780" w14:textId="77777777" w:rsidR="00E87D9E" w:rsidRDefault="00E87D9E">
      <w:r>
        <w:separator/>
      </w:r>
    </w:p>
  </w:endnote>
  <w:endnote w:type="continuationSeparator" w:id="0">
    <w:p w14:paraId="5112A35E" w14:textId="77777777" w:rsidR="00E87D9E" w:rsidRDefault="00E8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E87D9E" w:rsidRDefault="00E87D9E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E87D9E" w:rsidRDefault="00E87D9E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E87D9E" w:rsidRDefault="00E87D9E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A5B7A" w14:textId="77777777" w:rsidR="00E87D9E" w:rsidRDefault="00E87D9E">
      <w:r>
        <w:separator/>
      </w:r>
    </w:p>
  </w:footnote>
  <w:footnote w:type="continuationSeparator" w:id="0">
    <w:p w14:paraId="5BE88D99" w14:textId="77777777" w:rsidR="00E87D9E" w:rsidRDefault="00E87D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E87D9E" w:rsidRPr="0074214B" w:rsidRDefault="00E87D9E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E87D9E" w:rsidRPr="00207B19" w:rsidRDefault="00E87D9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E87D9E" w:rsidRPr="00207B19" w:rsidRDefault="00E87D9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E87D9E" w:rsidRDefault="00E87D9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E87D9E" w:rsidRPr="00207B19" w:rsidRDefault="00E87D9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E87D9E" w:rsidRPr="00207B19" w:rsidRDefault="00E87D9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03F"/>
    <w:rsid w:val="000200CA"/>
    <w:rsid w:val="000211EF"/>
    <w:rsid w:val="00023A19"/>
    <w:rsid w:val="00023CA8"/>
    <w:rsid w:val="000245D6"/>
    <w:rsid w:val="000264C5"/>
    <w:rsid w:val="00040B6B"/>
    <w:rsid w:val="00042D85"/>
    <w:rsid w:val="000522F5"/>
    <w:rsid w:val="000555E9"/>
    <w:rsid w:val="000623B1"/>
    <w:rsid w:val="000745F2"/>
    <w:rsid w:val="00093DD9"/>
    <w:rsid w:val="00095A08"/>
    <w:rsid w:val="00096D44"/>
    <w:rsid w:val="000A0C87"/>
    <w:rsid w:val="000A0F16"/>
    <w:rsid w:val="000A1260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1E22"/>
    <w:rsid w:val="00124411"/>
    <w:rsid w:val="00124654"/>
    <w:rsid w:val="001276BC"/>
    <w:rsid w:val="00127DCF"/>
    <w:rsid w:val="00132C1B"/>
    <w:rsid w:val="001429B0"/>
    <w:rsid w:val="00145D1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516C"/>
    <w:rsid w:val="001D555B"/>
    <w:rsid w:val="001D6831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2323B"/>
    <w:rsid w:val="00236F1F"/>
    <w:rsid w:val="00243146"/>
    <w:rsid w:val="002520DE"/>
    <w:rsid w:val="00253C24"/>
    <w:rsid w:val="00255BDF"/>
    <w:rsid w:val="00261831"/>
    <w:rsid w:val="002643D9"/>
    <w:rsid w:val="00265208"/>
    <w:rsid w:val="002811BC"/>
    <w:rsid w:val="00283B63"/>
    <w:rsid w:val="00284D63"/>
    <w:rsid w:val="00286B59"/>
    <w:rsid w:val="00290B57"/>
    <w:rsid w:val="00294C28"/>
    <w:rsid w:val="00296A11"/>
    <w:rsid w:val="002975FD"/>
    <w:rsid w:val="002B0480"/>
    <w:rsid w:val="002B0D38"/>
    <w:rsid w:val="002B2163"/>
    <w:rsid w:val="002B45BF"/>
    <w:rsid w:val="002B531F"/>
    <w:rsid w:val="002D45F9"/>
    <w:rsid w:val="002E0027"/>
    <w:rsid w:val="002F26C7"/>
    <w:rsid w:val="00303155"/>
    <w:rsid w:val="003109D9"/>
    <w:rsid w:val="00311AAA"/>
    <w:rsid w:val="00314066"/>
    <w:rsid w:val="00315876"/>
    <w:rsid w:val="00327A18"/>
    <w:rsid w:val="003320F7"/>
    <w:rsid w:val="00332238"/>
    <w:rsid w:val="00335B8D"/>
    <w:rsid w:val="0033619C"/>
    <w:rsid w:val="003434A5"/>
    <w:rsid w:val="00343946"/>
    <w:rsid w:val="003539CB"/>
    <w:rsid w:val="00362856"/>
    <w:rsid w:val="003664E3"/>
    <w:rsid w:val="00370A8C"/>
    <w:rsid w:val="003772EB"/>
    <w:rsid w:val="00380EDF"/>
    <w:rsid w:val="0038174A"/>
    <w:rsid w:val="00386E75"/>
    <w:rsid w:val="00387A36"/>
    <w:rsid w:val="00391C9E"/>
    <w:rsid w:val="003922EF"/>
    <w:rsid w:val="00392EFB"/>
    <w:rsid w:val="003A1E4E"/>
    <w:rsid w:val="003A32AE"/>
    <w:rsid w:val="003A3F34"/>
    <w:rsid w:val="003B37C5"/>
    <w:rsid w:val="003B52F2"/>
    <w:rsid w:val="003B6EE6"/>
    <w:rsid w:val="003B7EE3"/>
    <w:rsid w:val="003C0AC5"/>
    <w:rsid w:val="003C5BF5"/>
    <w:rsid w:val="003D09BB"/>
    <w:rsid w:val="003D52A1"/>
    <w:rsid w:val="003E02FB"/>
    <w:rsid w:val="003E0BCA"/>
    <w:rsid w:val="003E3CBF"/>
    <w:rsid w:val="003F143C"/>
    <w:rsid w:val="00406208"/>
    <w:rsid w:val="00407E7A"/>
    <w:rsid w:val="00411BFB"/>
    <w:rsid w:val="004138C2"/>
    <w:rsid w:val="00416F6C"/>
    <w:rsid w:val="004212D5"/>
    <w:rsid w:val="004240B4"/>
    <w:rsid w:val="00431A35"/>
    <w:rsid w:val="00432B2A"/>
    <w:rsid w:val="004420E3"/>
    <w:rsid w:val="004447B9"/>
    <w:rsid w:val="00445699"/>
    <w:rsid w:val="004520B4"/>
    <w:rsid w:val="004531C9"/>
    <w:rsid w:val="00454E39"/>
    <w:rsid w:val="00455BE1"/>
    <w:rsid w:val="004627F8"/>
    <w:rsid w:val="0046783E"/>
    <w:rsid w:val="00474B83"/>
    <w:rsid w:val="004764ED"/>
    <w:rsid w:val="004772FD"/>
    <w:rsid w:val="004816CF"/>
    <w:rsid w:val="00481F3D"/>
    <w:rsid w:val="00485DDD"/>
    <w:rsid w:val="004909CF"/>
    <w:rsid w:val="00492D44"/>
    <w:rsid w:val="00495CB0"/>
    <w:rsid w:val="004A0281"/>
    <w:rsid w:val="004A22E4"/>
    <w:rsid w:val="004A489E"/>
    <w:rsid w:val="004A56ED"/>
    <w:rsid w:val="004B1277"/>
    <w:rsid w:val="004B739B"/>
    <w:rsid w:val="004B7C9A"/>
    <w:rsid w:val="004C43EC"/>
    <w:rsid w:val="004D0CE8"/>
    <w:rsid w:val="004E0628"/>
    <w:rsid w:val="004E2914"/>
    <w:rsid w:val="004E29C8"/>
    <w:rsid w:val="004E5975"/>
    <w:rsid w:val="004F3498"/>
    <w:rsid w:val="004F4858"/>
    <w:rsid w:val="004F4B0B"/>
    <w:rsid w:val="005042E7"/>
    <w:rsid w:val="00510453"/>
    <w:rsid w:val="005173C4"/>
    <w:rsid w:val="00533E07"/>
    <w:rsid w:val="00534490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87AF3"/>
    <w:rsid w:val="005909DC"/>
    <w:rsid w:val="00591C20"/>
    <w:rsid w:val="00594400"/>
    <w:rsid w:val="0059693C"/>
    <w:rsid w:val="005A0ADB"/>
    <w:rsid w:val="005A1213"/>
    <w:rsid w:val="005A1BA0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5C19"/>
    <w:rsid w:val="006374F3"/>
    <w:rsid w:val="0064694A"/>
    <w:rsid w:val="00646C63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A693D"/>
    <w:rsid w:val="006B2524"/>
    <w:rsid w:val="006B266B"/>
    <w:rsid w:val="006B26A1"/>
    <w:rsid w:val="006B4297"/>
    <w:rsid w:val="006C0F4F"/>
    <w:rsid w:val="006C7AA7"/>
    <w:rsid w:val="006D4003"/>
    <w:rsid w:val="006E1861"/>
    <w:rsid w:val="006E4411"/>
    <w:rsid w:val="00700E8B"/>
    <w:rsid w:val="00703654"/>
    <w:rsid w:val="00703F0F"/>
    <w:rsid w:val="00704856"/>
    <w:rsid w:val="00717123"/>
    <w:rsid w:val="0072239F"/>
    <w:rsid w:val="00726925"/>
    <w:rsid w:val="00727146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1FC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7617"/>
    <w:rsid w:val="007E646A"/>
    <w:rsid w:val="007E74E6"/>
    <w:rsid w:val="007F2209"/>
    <w:rsid w:val="008000A6"/>
    <w:rsid w:val="00805B5C"/>
    <w:rsid w:val="008146E1"/>
    <w:rsid w:val="00817179"/>
    <w:rsid w:val="00821771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0108"/>
    <w:rsid w:val="008A6CA8"/>
    <w:rsid w:val="008A7000"/>
    <w:rsid w:val="008C387D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37FD3"/>
    <w:rsid w:val="0094763F"/>
    <w:rsid w:val="00947C99"/>
    <w:rsid w:val="00951167"/>
    <w:rsid w:val="00952B30"/>
    <w:rsid w:val="00953C11"/>
    <w:rsid w:val="00956F12"/>
    <w:rsid w:val="0096023A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14DB"/>
    <w:rsid w:val="009F0E89"/>
    <w:rsid w:val="009F14D5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2A1D"/>
    <w:rsid w:val="00A54355"/>
    <w:rsid w:val="00A633D8"/>
    <w:rsid w:val="00A7243A"/>
    <w:rsid w:val="00A733F1"/>
    <w:rsid w:val="00A74489"/>
    <w:rsid w:val="00A808E1"/>
    <w:rsid w:val="00A817D7"/>
    <w:rsid w:val="00A87BA5"/>
    <w:rsid w:val="00A96A2C"/>
    <w:rsid w:val="00AA0CEE"/>
    <w:rsid w:val="00AA19BB"/>
    <w:rsid w:val="00AA63D3"/>
    <w:rsid w:val="00AA6577"/>
    <w:rsid w:val="00AA76DE"/>
    <w:rsid w:val="00AA7789"/>
    <w:rsid w:val="00AB79F5"/>
    <w:rsid w:val="00AC3286"/>
    <w:rsid w:val="00AC704E"/>
    <w:rsid w:val="00AD0470"/>
    <w:rsid w:val="00AD6E63"/>
    <w:rsid w:val="00AE78F0"/>
    <w:rsid w:val="00AF0915"/>
    <w:rsid w:val="00AF3538"/>
    <w:rsid w:val="00AF50E4"/>
    <w:rsid w:val="00B0008E"/>
    <w:rsid w:val="00B02DF1"/>
    <w:rsid w:val="00B11A49"/>
    <w:rsid w:val="00B21519"/>
    <w:rsid w:val="00B23F01"/>
    <w:rsid w:val="00B26CD2"/>
    <w:rsid w:val="00B36915"/>
    <w:rsid w:val="00B40F46"/>
    <w:rsid w:val="00B43B6B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559F"/>
    <w:rsid w:val="00B858C9"/>
    <w:rsid w:val="00B92A07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6DD"/>
    <w:rsid w:val="00BC5E85"/>
    <w:rsid w:val="00BD0CCE"/>
    <w:rsid w:val="00BD2265"/>
    <w:rsid w:val="00BD3FE0"/>
    <w:rsid w:val="00BE02D3"/>
    <w:rsid w:val="00BE0CCE"/>
    <w:rsid w:val="00BF237A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4F1F"/>
    <w:rsid w:val="00C36569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C6C27"/>
    <w:rsid w:val="00CE7FDE"/>
    <w:rsid w:val="00CF2F82"/>
    <w:rsid w:val="00D0171E"/>
    <w:rsid w:val="00D02AB3"/>
    <w:rsid w:val="00D06864"/>
    <w:rsid w:val="00D10274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23A3"/>
    <w:rsid w:val="00DC675A"/>
    <w:rsid w:val="00DD3238"/>
    <w:rsid w:val="00DD3320"/>
    <w:rsid w:val="00DE66EC"/>
    <w:rsid w:val="00DF0444"/>
    <w:rsid w:val="00DF716C"/>
    <w:rsid w:val="00E003FB"/>
    <w:rsid w:val="00E0671E"/>
    <w:rsid w:val="00E1733A"/>
    <w:rsid w:val="00E17540"/>
    <w:rsid w:val="00E47C33"/>
    <w:rsid w:val="00E579A1"/>
    <w:rsid w:val="00E61F7C"/>
    <w:rsid w:val="00E632BB"/>
    <w:rsid w:val="00E70A16"/>
    <w:rsid w:val="00E7546D"/>
    <w:rsid w:val="00E80B34"/>
    <w:rsid w:val="00E81F5C"/>
    <w:rsid w:val="00E84D49"/>
    <w:rsid w:val="00E85D08"/>
    <w:rsid w:val="00E87D9E"/>
    <w:rsid w:val="00E932AE"/>
    <w:rsid w:val="00E96863"/>
    <w:rsid w:val="00EB3315"/>
    <w:rsid w:val="00EB3DD7"/>
    <w:rsid w:val="00EC319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369B6"/>
    <w:rsid w:val="00F37297"/>
    <w:rsid w:val="00F426F1"/>
    <w:rsid w:val="00F430C4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A098A"/>
    <w:rsid w:val="00FA700C"/>
    <w:rsid w:val="00FC07A3"/>
    <w:rsid w:val="00FC17E8"/>
    <w:rsid w:val="00FC1C7D"/>
    <w:rsid w:val="00FC4925"/>
    <w:rsid w:val="00FC5E6A"/>
    <w:rsid w:val="00FD23FA"/>
    <w:rsid w:val="00FE01BA"/>
    <w:rsid w:val="00FE0E6A"/>
    <w:rsid w:val="00FE1231"/>
    <w:rsid w:val="00FE2C8C"/>
    <w:rsid w:val="00FE5545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71BF-E055-FC42-A982-E8430B37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50</TotalTime>
  <Pages>2</Pages>
  <Words>770</Words>
  <Characters>4394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5154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29</cp:revision>
  <cp:lastPrinted>2016-06-10T07:23:00Z</cp:lastPrinted>
  <dcterms:created xsi:type="dcterms:W3CDTF">2016-05-27T14:20:00Z</dcterms:created>
  <dcterms:modified xsi:type="dcterms:W3CDTF">2016-06-10T07:24:00Z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