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r w:rsidRPr="001202B2">
        <w:rPr>
          <w:color w:val="808080"/>
          <w:lang w:val="pl-PL"/>
        </w:rPr>
        <w:t>Corporate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5A0056">
        <w:rPr>
          <w:lang w:val="pl-PL"/>
        </w:rPr>
        <w:t>Styczeń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</w:t>
      </w:r>
      <w:r w:rsidR="00052E1D">
        <w:rPr>
          <w:lang w:val="pl-PL"/>
        </w:rPr>
        <w:t>5</w:t>
      </w:r>
      <w:r w:rsidR="00FC1DAA" w:rsidRPr="00793B6F">
        <w:rPr>
          <w:lang w:val="pl-PL"/>
        </w:rPr>
        <w:br/>
      </w:r>
    </w:p>
    <w:p w:rsidR="00052E1D" w:rsidRPr="00052E1D" w:rsidRDefault="00052E1D" w:rsidP="00052E1D">
      <w:pPr>
        <w:spacing w:line="360" w:lineRule="auto"/>
        <w:rPr>
          <w:b/>
          <w:sz w:val="24"/>
          <w:szCs w:val="24"/>
        </w:rPr>
      </w:pPr>
      <w:r w:rsidRPr="00052E1D">
        <w:rPr>
          <w:b/>
          <w:sz w:val="24"/>
          <w:szCs w:val="24"/>
        </w:rPr>
        <w:t>Innowacje BMW na targach CES 2015 w Las Vegas.</w:t>
      </w:r>
    </w:p>
    <w:p w:rsidR="00052E1D" w:rsidRPr="00052E1D" w:rsidRDefault="00052E1D" w:rsidP="00052E1D">
      <w:pPr>
        <w:spacing w:line="360" w:lineRule="auto"/>
        <w:rPr>
          <w:b/>
          <w:color w:val="808080" w:themeColor="background1" w:themeShade="80"/>
          <w:sz w:val="24"/>
          <w:szCs w:val="24"/>
        </w:rPr>
      </w:pPr>
      <w:r w:rsidRPr="00052E1D">
        <w:rPr>
          <w:b/>
          <w:color w:val="808080" w:themeColor="background1" w:themeShade="80"/>
          <w:sz w:val="24"/>
          <w:szCs w:val="24"/>
        </w:rPr>
        <w:t>BMW ConnectedDrive Store.</w:t>
      </w:r>
    </w:p>
    <w:p w:rsidR="00052E1D" w:rsidRDefault="00052E1D" w:rsidP="00052E1D">
      <w:pPr>
        <w:spacing w:line="360" w:lineRule="auto"/>
      </w:pPr>
    </w:p>
    <w:p w:rsidR="00052E1D" w:rsidRDefault="00052E1D" w:rsidP="00052E1D">
      <w:pPr>
        <w:spacing w:line="360" w:lineRule="auto"/>
      </w:pPr>
      <w:r>
        <w:t>Na targach CES 2015 w Las Vegas BMW dowodzi, że połączenie między kierowcą, pojazdem i otoczeniem staje się coraz łatwiejsze, coraz bardziej spersonalizowane i jeszcze elastyczniejsze. Szeroka paleta cyfrowych usług i funkcji dostępnych w ramach systemu ConnectedDrive jest dostępna online – do ściągnięcia z internetu na domowy komputer albo bezpośrednio z samochodu – ze sklepu BMW ConnectedDrive Store.</w:t>
      </w:r>
    </w:p>
    <w:p w:rsidR="00052E1D" w:rsidRDefault="00052E1D" w:rsidP="00052E1D">
      <w:pPr>
        <w:spacing w:line="360" w:lineRule="auto"/>
      </w:pPr>
      <w:r>
        <w:t>Przy okazji prezentacji tych funkcji i możliwości, BMW oficjalnie zawiadomiło, że wszystkie sprzedawane na terenie USA modele marki będą od zaraz wyposażane fabrycznie w zintegrowane karty SIM, które nie tylko umożliwiają realizację inteligentnego telefonu alarmowego Emergency Call Service, ale również korzystanie z oferty BMW ConnectedDrive Store.</w:t>
      </w:r>
    </w:p>
    <w:p w:rsidR="00E168D8" w:rsidRPr="00824048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5A0056" w:rsidRDefault="005A0056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205452" w:rsidRDefault="00205452" w:rsidP="00205452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205452" w:rsidRDefault="00205452" w:rsidP="00205452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205452" w:rsidRDefault="00205452" w:rsidP="00205452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205452" w:rsidRDefault="00205452" w:rsidP="00205452">
      <w:pPr>
        <w:spacing w:line="240" w:lineRule="auto"/>
        <w:rPr>
          <w:sz w:val="18"/>
          <w:szCs w:val="18"/>
        </w:rPr>
      </w:pPr>
    </w:p>
    <w:p w:rsidR="00205452" w:rsidRDefault="00205452" w:rsidP="00205452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205452" w:rsidRDefault="00205452" w:rsidP="00205452">
      <w:pPr>
        <w:spacing w:line="240" w:lineRule="auto"/>
        <w:rPr>
          <w:color w:val="000000" w:themeColor="text1"/>
          <w:sz w:val="18"/>
          <w:szCs w:val="18"/>
        </w:rPr>
      </w:pPr>
    </w:p>
    <w:p w:rsidR="00205452" w:rsidRDefault="00205452" w:rsidP="00205452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205452" w:rsidRDefault="00205452" w:rsidP="00205452">
      <w:pPr>
        <w:spacing w:line="240" w:lineRule="auto"/>
        <w:rPr>
          <w:color w:val="000000" w:themeColor="text1"/>
          <w:sz w:val="18"/>
          <w:szCs w:val="18"/>
        </w:rPr>
      </w:pPr>
    </w:p>
    <w:p w:rsidR="00205452" w:rsidRPr="007911C2" w:rsidRDefault="00765512" w:rsidP="00205452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="00205452" w:rsidRPr="007911C2">
          <w:rPr>
            <w:rStyle w:val="Hyperlink"/>
            <w:sz w:val="16"/>
            <w:lang w:val="en-US"/>
          </w:rPr>
          <w:t>www.bmwgroup.com</w:t>
        </w:r>
      </w:hyperlink>
      <w:r w:rsidR="00205452" w:rsidRPr="007911C2">
        <w:rPr>
          <w:sz w:val="16"/>
          <w:lang w:val="en-US"/>
        </w:rPr>
        <w:t xml:space="preserve"> </w:t>
      </w:r>
    </w:p>
    <w:p w:rsidR="00205452" w:rsidRPr="007911C2" w:rsidRDefault="00205452" w:rsidP="00205452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Facebook: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205452" w:rsidRPr="007911C2" w:rsidRDefault="00205452" w:rsidP="00205452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205452" w:rsidRPr="007911C2" w:rsidRDefault="00205452" w:rsidP="00205452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FC1DAA" w:rsidRPr="00052E1D" w:rsidRDefault="00205452" w:rsidP="00052E1D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sectPr w:rsidR="00FC1DAA" w:rsidRPr="00052E1D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CF5" w:rsidRDefault="006B3CF5">
      <w:r>
        <w:separator/>
      </w:r>
    </w:p>
  </w:endnote>
  <w:endnote w:type="continuationSeparator" w:id="0">
    <w:p w:rsidR="006B3CF5" w:rsidRDefault="006B3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CF5" w:rsidRDefault="006B3CF5">
      <w:r>
        <w:separator/>
      </w:r>
    </w:p>
  </w:footnote>
  <w:footnote w:type="continuationSeparator" w:id="0">
    <w:p w:rsidR="006B3CF5" w:rsidRDefault="006B3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5A0056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 xml:space="preserve">Styczeń </w:t>
          </w:r>
          <w:r w:rsidR="00D71A2E">
            <w:rPr>
              <w:lang w:val="pl-PL"/>
            </w:rPr>
            <w:t>201</w:t>
          </w:r>
          <w:r>
            <w:rPr>
              <w:lang w:val="pl-PL"/>
            </w:rPr>
            <w:t>5</w:t>
          </w:r>
        </w:p>
        <w:p w:rsidR="005A0056" w:rsidRPr="005A0056" w:rsidRDefault="005A0056" w:rsidP="005A0056">
          <w:pPr>
            <w:framePr w:w="11340" w:hSpace="142" w:wrap="notBeside" w:vAnchor="page" w:hAnchor="page" w:y="1815" w:anchorLock="1"/>
            <w:spacing w:line="360" w:lineRule="auto"/>
            <w:rPr>
              <w:lang w:val="pl-PL"/>
            </w:rPr>
          </w:pPr>
          <w:r w:rsidRPr="005A0056">
            <w:rPr>
              <w:lang w:val="pl-PL"/>
            </w:rPr>
            <w:t>Innowacje BMW podczas Consumer Electronics Show (CES) 2015 w Las Vegas.</w:t>
          </w:r>
        </w:p>
        <w:p w:rsidR="00E859F3" w:rsidRPr="005A0056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76551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52E1D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2E1D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05452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46E1E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056"/>
    <w:rsid w:val="005A07AE"/>
    <w:rsid w:val="005A5795"/>
    <w:rsid w:val="005A6C05"/>
    <w:rsid w:val="005B627C"/>
    <w:rsid w:val="005D694B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B3CF5"/>
    <w:rsid w:val="006E0CFB"/>
    <w:rsid w:val="006E1049"/>
    <w:rsid w:val="00701169"/>
    <w:rsid w:val="00703C4A"/>
    <w:rsid w:val="00704985"/>
    <w:rsid w:val="00705D0B"/>
    <w:rsid w:val="00734E1C"/>
    <w:rsid w:val="00765512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048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071D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07BE4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7651E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350D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5B55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2015-01-12T09:20:00Z</dcterms:created>
  <dcterms:modified xsi:type="dcterms:W3CDTF">2015-01-12T09:20:00Z</dcterms:modified>
</cp:coreProperties>
</file>