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567766" w:rsidRPr="00633D61">
        <w:rPr>
          <w:lang w:val="pl-PL"/>
        </w:rPr>
        <w:t>Czerwiec</w:t>
      </w:r>
      <w:r w:rsidR="00E168D8" w:rsidRPr="00633D61">
        <w:rPr>
          <w:lang w:val="pl-PL"/>
        </w:rPr>
        <w:t xml:space="preserve"> </w:t>
      </w:r>
      <w:r w:rsidR="00EB0FEB" w:rsidRPr="00633D61">
        <w:rPr>
          <w:lang w:val="pl-PL"/>
        </w:rPr>
        <w:t>201</w:t>
      </w:r>
      <w:r w:rsidR="00AE19FF" w:rsidRPr="00633D61">
        <w:rPr>
          <w:lang w:val="pl-PL"/>
        </w:rPr>
        <w:t>5</w:t>
      </w:r>
      <w:r w:rsidR="00FC1DAA" w:rsidRPr="00633D61">
        <w:rPr>
          <w:lang w:val="pl-PL"/>
        </w:rPr>
        <w:br/>
      </w:r>
    </w:p>
    <w:p w:rsidR="00A25BEF" w:rsidRPr="00A25BEF" w:rsidRDefault="00A25BEF" w:rsidP="00A25BEF">
      <w:pPr>
        <w:rPr>
          <w:b/>
          <w:sz w:val="28"/>
          <w:szCs w:val="28"/>
          <w:lang w:val="pl-PL"/>
        </w:rPr>
      </w:pPr>
      <w:bookmarkStart w:id="0" w:name="_GoBack"/>
      <w:r w:rsidRPr="00A25BEF">
        <w:rPr>
          <w:b/>
          <w:sz w:val="28"/>
          <w:szCs w:val="28"/>
          <w:lang w:val="pl-PL"/>
        </w:rPr>
        <w:t>BMW Group i NTU</w:t>
      </w:r>
      <w:bookmarkEnd w:id="0"/>
      <w:r w:rsidRPr="00A25BEF">
        <w:rPr>
          <w:b/>
          <w:sz w:val="28"/>
          <w:szCs w:val="28"/>
          <w:lang w:val="pl-PL"/>
        </w:rPr>
        <w:t xml:space="preserve"> </w:t>
      </w:r>
      <w:proofErr w:type="spellStart"/>
      <w:r w:rsidRPr="00A25BEF">
        <w:rPr>
          <w:b/>
          <w:sz w:val="28"/>
          <w:szCs w:val="28"/>
          <w:lang w:val="pl-PL"/>
        </w:rPr>
        <w:t>przeznaczyły</w:t>
      </w:r>
      <w:proofErr w:type="spellEnd"/>
      <w:r w:rsidRPr="00A25BEF">
        <w:rPr>
          <w:b/>
          <w:sz w:val="28"/>
          <w:szCs w:val="28"/>
          <w:lang w:val="pl-PL"/>
        </w:rPr>
        <w:t xml:space="preserve"> 1,3 </w:t>
      </w:r>
      <w:proofErr w:type="spellStart"/>
      <w:r w:rsidRPr="00A25BEF">
        <w:rPr>
          <w:b/>
          <w:sz w:val="28"/>
          <w:szCs w:val="28"/>
          <w:lang w:val="pl-PL"/>
        </w:rPr>
        <w:t>mln</w:t>
      </w:r>
      <w:proofErr w:type="spellEnd"/>
      <w:r w:rsidRPr="00A25BEF">
        <w:rPr>
          <w:b/>
          <w:sz w:val="28"/>
          <w:szCs w:val="28"/>
          <w:lang w:val="pl-PL"/>
        </w:rPr>
        <w:t xml:space="preserve"> USD na </w:t>
      </w:r>
      <w:proofErr w:type="spellStart"/>
      <w:r w:rsidRPr="00A25BEF">
        <w:rPr>
          <w:b/>
          <w:sz w:val="28"/>
          <w:szCs w:val="28"/>
          <w:lang w:val="pl-PL"/>
        </w:rPr>
        <w:t>wspólny</w:t>
      </w:r>
      <w:proofErr w:type="spellEnd"/>
      <w:r w:rsidRPr="00A25BEF">
        <w:rPr>
          <w:b/>
          <w:sz w:val="28"/>
          <w:szCs w:val="28"/>
          <w:lang w:val="pl-PL"/>
        </w:rPr>
        <w:t xml:space="preserve"> </w:t>
      </w:r>
      <w:proofErr w:type="spellStart"/>
      <w:r w:rsidRPr="00A25BEF">
        <w:rPr>
          <w:b/>
          <w:sz w:val="28"/>
          <w:szCs w:val="28"/>
          <w:lang w:val="pl-PL"/>
        </w:rPr>
        <w:t>program</w:t>
      </w:r>
      <w:proofErr w:type="spellEnd"/>
      <w:r w:rsidRPr="00A25BEF">
        <w:rPr>
          <w:b/>
          <w:sz w:val="28"/>
          <w:szCs w:val="28"/>
          <w:lang w:val="pl-PL"/>
        </w:rPr>
        <w:t xml:space="preserve"> badawczy nad mobilnością elektryczną</w:t>
      </w:r>
      <w:r>
        <w:rPr>
          <w:b/>
          <w:sz w:val="28"/>
          <w:szCs w:val="28"/>
          <w:lang w:val="pl-PL"/>
        </w:rPr>
        <w:t>.</w:t>
      </w:r>
    </w:p>
    <w:p w:rsidR="00A33C14" w:rsidRDefault="00A33C14" w:rsidP="00B214E9">
      <w:pPr>
        <w:rPr>
          <w:b/>
          <w:sz w:val="28"/>
          <w:szCs w:val="28"/>
          <w:lang w:val="pl-PL"/>
        </w:rPr>
      </w:pPr>
    </w:p>
    <w:p w:rsidR="00A25BEF" w:rsidRDefault="00A25BEF" w:rsidP="00A25BEF">
      <w:pPr>
        <w:spacing w:line="360" w:lineRule="auto"/>
      </w:pPr>
      <w:r>
        <w:t xml:space="preserve">BMW Group i </w:t>
      </w:r>
      <w:proofErr w:type="spellStart"/>
      <w:r>
        <w:t>Nanyang</w:t>
      </w:r>
      <w:proofErr w:type="spellEnd"/>
      <w:r>
        <w:t xml:space="preserve"> Technological University (NTU </w:t>
      </w:r>
      <w:proofErr w:type="spellStart"/>
      <w:r>
        <w:t>Singapore</w:t>
      </w:r>
      <w:proofErr w:type="spellEnd"/>
      <w:r>
        <w:t xml:space="preserve">) </w:t>
      </w:r>
      <w:proofErr w:type="spellStart"/>
      <w:r>
        <w:t>uruchomiły</w:t>
      </w:r>
      <w:proofErr w:type="spellEnd"/>
      <w:r>
        <w:t xml:space="preserve"> </w:t>
      </w:r>
      <w:proofErr w:type="spellStart"/>
      <w:r>
        <w:t>wspólny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badawczy</w:t>
      </w:r>
      <w:proofErr w:type="spellEnd"/>
      <w:r>
        <w:t xml:space="preserve"> </w:t>
      </w:r>
      <w:proofErr w:type="spellStart"/>
      <w:r>
        <w:t>poświęcony</w:t>
      </w:r>
      <w:proofErr w:type="spellEnd"/>
      <w:r>
        <w:t xml:space="preserve"> </w:t>
      </w:r>
      <w:proofErr w:type="spellStart"/>
      <w:r>
        <w:t>mobilności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. </w:t>
      </w:r>
      <w:proofErr w:type="spellStart"/>
      <w:r>
        <w:t>Narzędziemi</w:t>
      </w:r>
      <w:proofErr w:type="spellEnd"/>
      <w:r>
        <w:t xml:space="preserve"> </w:t>
      </w:r>
      <w:proofErr w:type="spellStart"/>
      <w:r>
        <w:t>badawczymi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m.in. </w:t>
      </w:r>
      <w:proofErr w:type="spellStart"/>
      <w:r>
        <w:t>elektryczny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BMW i3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hybrydowy</w:t>
      </w:r>
      <w:proofErr w:type="spellEnd"/>
      <w:r>
        <w:t xml:space="preserve"> (</w:t>
      </w:r>
      <w:proofErr w:type="spellStart"/>
      <w:r>
        <w:t>benzynowo-elektryczny</w:t>
      </w:r>
      <w:proofErr w:type="spellEnd"/>
      <w:r>
        <w:t xml:space="preserve">)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BMW i8.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prowadzony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w Future Mobility Research Lab 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kampusu</w:t>
      </w:r>
      <w:proofErr w:type="spellEnd"/>
      <w:r>
        <w:t xml:space="preserve"> NTU –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prowadzonym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BMW Group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w </w:t>
      </w:r>
      <w:proofErr w:type="spellStart"/>
      <w:r>
        <w:t>Południowo-Wschodniej</w:t>
      </w:r>
      <w:proofErr w:type="spellEnd"/>
      <w:r>
        <w:t xml:space="preserve"> </w:t>
      </w:r>
      <w:proofErr w:type="spellStart"/>
      <w:r>
        <w:t>Azji</w:t>
      </w:r>
      <w:proofErr w:type="spellEnd"/>
      <w:r>
        <w:t xml:space="preserve">. </w:t>
      </w:r>
      <w:proofErr w:type="spellStart"/>
      <w:r>
        <w:t>Oprócz</w:t>
      </w:r>
      <w:proofErr w:type="spellEnd"/>
      <w:r>
        <w:t xml:space="preserve"> </w:t>
      </w:r>
      <w:proofErr w:type="spellStart"/>
      <w:r>
        <w:t>inicjalnych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(w 2013 r. na </w:t>
      </w:r>
      <w:proofErr w:type="spellStart"/>
      <w:r>
        <w:t>założenie</w:t>
      </w:r>
      <w:proofErr w:type="spellEnd"/>
      <w:r>
        <w:t xml:space="preserve"> Laboratorium </w:t>
      </w:r>
      <w:proofErr w:type="spellStart"/>
      <w:r>
        <w:t>partnerzy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wyłożyli</w:t>
      </w:r>
      <w:proofErr w:type="spellEnd"/>
      <w:r>
        <w:t xml:space="preserve"> 5,5 </w:t>
      </w:r>
      <w:proofErr w:type="spellStart"/>
      <w:r>
        <w:t>mln</w:t>
      </w:r>
      <w:proofErr w:type="spellEnd"/>
      <w:r>
        <w:t xml:space="preserve"> USD) na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przeznaczono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1,3 </w:t>
      </w:r>
      <w:proofErr w:type="spellStart"/>
      <w:r>
        <w:t>mln</w:t>
      </w:r>
      <w:proofErr w:type="spellEnd"/>
      <w:r>
        <w:t xml:space="preserve"> USD.</w:t>
      </w:r>
    </w:p>
    <w:p w:rsidR="00A25BEF" w:rsidRDefault="00A25BEF" w:rsidP="00A25BEF">
      <w:pPr>
        <w:spacing w:line="360" w:lineRule="auto"/>
      </w:pPr>
      <w:proofErr w:type="spellStart"/>
      <w:r>
        <w:t>Program</w:t>
      </w:r>
      <w:proofErr w:type="spellEnd"/>
      <w:r>
        <w:t xml:space="preserve"> </w:t>
      </w:r>
      <w:proofErr w:type="spellStart"/>
      <w:r>
        <w:t>skupi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dziedzinach</w:t>
      </w:r>
      <w:proofErr w:type="spellEnd"/>
      <w:r>
        <w:t xml:space="preserve">: </w:t>
      </w:r>
      <w:proofErr w:type="spellStart"/>
      <w:r>
        <w:t>mobilności</w:t>
      </w:r>
      <w:proofErr w:type="spellEnd"/>
      <w:r>
        <w:t xml:space="preserve"> </w:t>
      </w:r>
      <w:proofErr w:type="spellStart"/>
      <w:r>
        <w:t>elektrycznej</w:t>
      </w:r>
      <w:proofErr w:type="spellEnd"/>
      <w:r>
        <w:t xml:space="preserve"> w </w:t>
      </w:r>
      <w:proofErr w:type="spellStart"/>
      <w:r>
        <w:t>Azji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na </w:t>
      </w:r>
      <w:proofErr w:type="spellStart"/>
      <w:r>
        <w:t>inteligentnych</w:t>
      </w:r>
      <w:proofErr w:type="spellEnd"/>
      <w:r>
        <w:t xml:space="preserve"> </w:t>
      </w:r>
      <w:proofErr w:type="spellStart"/>
      <w:r>
        <w:t>materiałach</w:t>
      </w:r>
      <w:proofErr w:type="spellEnd"/>
      <w:r>
        <w:t xml:space="preserve">. </w:t>
      </w:r>
      <w:proofErr w:type="spellStart"/>
      <w:r>
        <w:t>Warto</w:t>
      </w:r>
      <w:proofErr w:type="spellEnd"/>
      <w:r>
        <w:t xml:space="preserve"> </w:t>
      </w:r>
      <w:proofErr w:type="spellStart"/>
      <w:r>
        <w:t>pamiętać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powstania</w:t>
      </w:r>
      <w:proofErr w:type="spellEnd"/>
      <w:r>
        <w:t xml:space="preserve">, Laboratorium </w:t>
      </w:r>
      <w:proofErr w:type="spellStart"/>
      <w:r>
        <w:t>zajmuje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badaniami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zaawansowanymi</w:t>
      </w:r>
      <w:proofErr w:type="spellEnd"/>
      <w:r>
        <w:t xml:space="preserve"> </w:t>
      </w:r>
      <w:proofErr w:type="spellStart"/>
      <w:r>
        <w:t>akumulatorami</w:t>
      </w:r>
      <w:proofErr w:type="spellEnd"/>
      <w:r>
        <w:t xml:space="preserve">, </w:t>
      </w:r>
      <w:proofErr w:type="spellStart"/>
      <w:r>
        <w:t>systemach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inteligentnej</w:t>
      </w:r>
      <w:proofErr w:type="spellEnd"/>
      <w:r>
        <w:t xml:space="preserve"> </w:t>
      </w:r>
      <w:proofErr w:type="spellStart"/>
      <w:r>
        <w:t>mobilności</w:t>
      </w:r>
      <w:proofErr w:type="spellEnd"/>
      <w:r>
        <w:t>.</w:t>
      </w:r>
    </w:p>
    <w:p w:rsidR="00A25BEF" w:rsidRPr="00326755" w:rsidRDefault="00A25BEF" w:rsidP="00A25BEF">
      <w:pPr>
        <w:spacing w:line="360" w:lineRule="auto"/>
      </w:pPr>
      <w:proofErr w:type="spellStart"/>
      <w:r>
        <w:t>Oddane</w:t>
      </w:r>
      <w:proofErr w:type="spellEnd"/>
      <w:r>
        <w:t xml:space="preserve"> do </w:t>
      </w:r>
      <w:proofErr w:type="spellStart"/>
      <w:r>
        <w:t>badań</w:t>
      </w:r>
      <w:proofErr w:type="spellEnd"/>
      <w:r>
        <w:t xml:space="preserve"> </w:t>
      </w:r>
      <w:proofErr w:type="spellStart"/>
      <w:r>
        <w:t>samochody</w:t>
      </w:r>
      <w:proofErr w:type="spellEnd"/>
      <w:r>
        <w:t xml:space="preserve"> BMW i3 </w:t>
      </w:r>
      <w:proofErr w:type="spellStart"/>
      <w:r>
        <w:t>oraz</w:t>
      </w:r>
      <w:proofErr w:type="spellEnd"/>
      <w:r>
        <w:t xml:space="preserve"> BMW i8 </w:t>
      </w:r>
      <w:proofErr w:type="spellStart"/>
      <w:r>
        <w:t>posłużą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ruchome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testowe</w:t>
      </w:r>
      <w:proofErr w:type="spellEnd"/>
      <w:r>
        <w:t xml:space="preserve">, </w:t>
      </w:r>
      <w:proofErr w:type="spellStart"/>
      <w:r>
        <w:t>badające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w </w:t>
      </w:r>
      <w:proofErr w:type="spellStart"/>
      <w:r>
        <w:t>realnych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aplikacje</w:t>
      </w:r>
      <w:proofErr w:type="spellEnd"/>
      <w:r>
        <w:t xml:space="preserve"> </w:t>
      </w:r>
      <w:proofErr w:type="spellStart"/>
      <w:r>
        <w:t>mobilne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przewidywać</w:t>
      </w:r>
      <w:proofErr w:type="spellEnd"/>
      <w:r>
        <w:t xml:space="preserve"> </w:t>
      </w:r>
      <w:proofErr w:type="spellStart"/>
      <w:r>
        <w:t>ruch</w:t>
      </w:r>
      <w:proofErr w:type="spellEnd"/>
      <w:r>
        <w:t xml:space="preserve"> </w:t>
      </w:r>
      <w:proofErr w:type="spellStart"/>
      <w:r>
        <w:t>drogowy</w:t>
      </w:r>
      <w:proofErr w:type="spellEnd"/>
      <w:r>
        <w:t xml:space="preserve"> i </w:t>
      </w:r>
      <w:proofErr w:type="spellStart"/>
      <w:r>
        <w:t>szacować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podróży</w:t>
      </w:r>
      <w:proofErr w:type="spellEnd"/>
      <w:r>
        <w:t>.</w:t>
      </w:r>
    </w:p>
    <w:p w:rsidR="00A25BEF" w:rsidRPr="00A25BEF" w:rsidRDefault="00A25BEF" w:rsidP="00A25BEF">
      <w:pPr>
        <w:spacing w:line="360" w:lineRule="auto"/>
        <w:rPr>
          <w:b/>
          <w:sz w:val="28"/>
          <w:szCs w:val="28"/>
        </w:rPr>
      </w:pPr>
    </w:p>
    <w:p w:rsidR="00F8728D" w:rsidRPr="00267A82" w:rsidRDefault="00F8728D" w:rsidP="00F8728D">
      <w:pPr>
        <w:tabs>
          <w:tab w:val="left" w:pos="5799"/>
        </w:tabs>
        <w:spacing w:line="360" w:lineRule="auto"/>
      </w:pPr>
    </w:p>
    <w:p w:rsidR="00E91E39" w:rsidRPr="00F8728D" w:rsidRDefault="00E91E39" w:rsidP="00E91E39">
      <w:pPr>
        <w:spacing w:line="360" w:lineRule="auto"/>
        <w:rPr>
          <w:b/>
          <w:sz w:val="28"/>
          <w:szCs w:val="28"/>
          <w:lang w:val="pl-PL"/>
        </w:rPr>
      </w:pPr>
    </w:p>
    <w:p w:rsidR="00603262" w:rsidRDefault="00603262" w:rsidP="00603262"/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</w:t>
      </w:r>
      <w:r w:rsidRPr="00A9471B">
        <w:rPr>
          <w:sz w:val="18"/>
          <w:szCs w:val="18"/>
          <w:lang w:val="pl-PL"/>
        </w:rPr>
        <w:lastRenderedPageBreak/>
        <w:t xml:space="preserve">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A25BEF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B3" w:rsidRDefault="000B61B3">
      <w:r>
        <w:separator/>
      </w:r>
    </w:p>
  </w:endnote>
  <w:endnote w:type="continuationSeparator" w:id="0">
    <w:p w:rsidR="000B61B3" w:rsidRDefault="000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B3" w:rsidRDefault="000B61B3">
      <w:r>
        <w:separator/>
      </w:r>
    </w:p>
  </w:footnote>
  <w:footnote w:type="continuationSeparator" w:id="0">
    <w:p w:rsidR="000B61B3" w:rsidRDefault="000B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A25BEF" w:rsidRPr="00A25BEF" w:rsidRDefault="00A25BEF" w:rsidP="00A25BEF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A25BEF">
            <w:rPr>
              <w:lang w:val="pl-PL"/>
            </w:rPr>
            <w:t>BMW Group i NTU przeznaczyły 1,3 mln USD na wspólny program badawczy nad mobilnością elektryczną.</w:t>
          </w:r>
        </w:p>
        <w:p w:rsidR="003B4466" w:rsidRPr="00633D61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FC1DAA" w:rsidRPr="00633D61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A25BEF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3701-DB74-465C-8685-B78384FB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2616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2015-07-10T13:12:00Z</dcterms:created>
  <dcterms:modified xsi:type="dcterms:W3CDTF">2015-07-10T13:12:00Z</dcterms:modified>
</cp:coreProperties>
</file>