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871E5A" w:rsidRDefault="00EF344A">
      <w:pPr>
        <w:outlineLvl w:val="0"/>
        <w:rPr>
          <w:rFonts w:ascii="BMWTypeLight" w:hAnsi="BMWTypeLight"/>
          <w:b/>
          <w:bCs/>
          <w:sz w:val="36"/>
          <w:szCs w:val="36"/>
          <w:lang w:val="de-CH"/>
        </w:rPr>
      </w:pPr>
      <w:r w:rsidRPr="00871E5A">
        <w:rPr>
          <w:rFonts w:ascii="BMWTypeLight" w:hAnsi="BMWTypeLight"/>
          <w:b/>
          <w:bCs/>
          <w:sz w:val="36"/>
          <w:szCs w:val="36"/>
          <w:lang w:val="de-CH"/>
        </w:rPr>
        <w:t>BMW Group</w:t>
      </w:r>
    </w:p>
    <w:p w:rsidR="00EF344A" w:rsidRPr="00871E5A" w:rsidRDefault="00EF344A">
      <w:pPr>
        <w:outlineLvl w:val="0"/>
        <w:rPr>
          <w:rFonts w:ascii="BMWTypeLight" w:hAnsi="BMWTypeLight"/>
          <w:b/>
          <w:bCs/>
          <w:color w:val="C0C0C0"/>
          <w:sz w:val="36"/>
          <w:szCs w:val="36"/>
          <w:lang w:val="de-CH"/>
        </w:rPr>
      </w:pPr>
      <w:proofErr w:type="spellStart"/>
      <w:r w:rsidRPr="00871E5A">
        <w:rPr>
          <w:rFonts w:ascii="BMWTypeLight" w:hAnsi="BMWTypeLight"/>
          <w:b/>
          <w:bCs/>
          <w:color w:val="C0C0C0"/>
          <w:sz w:val="36"/>
          <w:szCs w:val="36"/>
          <w:lang w:val="de-CH"/>
        </w:rPr>
        <w:t>Switzerland</w:t>
      </w:r>
      <w:proofErr w:type="spellEnd"/>
    </w:p>
    <w:p w:rsidR="00EF344A" w:rsidRPr="00871E5A" w:rsidRDefault="00EF344A">
      <w:pPr>
        <w:outlineLvl w:val="0"/>
        <w:rPr>
          <w:rFonts w:ascii="BMWTypeLight" w:hAnsi="BMWTypeLight"/>
          <w:b/>
          <w:bCs/>
          <w:color w:val="C0C0C0"/>
          <w:sz w:val="36"/>
          <w:szCs w:val="36"/>
          <w:lang w:val="de-CH"/>
        </w:rPr>
      </w:pPr>
      <w:r w:rsidRPr="00871E5A">
        <w:rPr>
          <w:rFonts w:ascii="BMWTypeLight" w:hAnsi="BMWTypeLight"/>
          <w:b/>
          <w:bCs/>
          <w:color w:val="C0C0C0"/>
          <w:sz w:val="36"/>
          <w:szCs w:val="36"/>
          <w:lang w:val="de-CH"/>
        </w:rPr>
        <w:t>Corporate Communications</w:t>
      </w:r>
    </w:p>
    <w:p w:rsidR="00EF344A" w:rsidRPr="00871E5A" w:rsidRDefault="00EF344A">
      <w:pPr>
        <w:rPr>
          <w:rFonts w:ascii="BMWTypeLight" w:hAnsi="BMWTypeLight"/>
          <w:b/>
          <w:bCs/>
          <w:sz w:val="36"/>
          <w:szCs w:val="36"/>
          <w:lang w:val="de-CH"/>
        </w:rPr>
      </w:pPr>
    </w:p>
    <w:p w:rsidR="00EF344A" w:rsidRPr="00871E5A" w:rsidRDefault="00EF344A">
      <w:pPr>
        <w:spacing w:line="360" w:lineRule="atLeast"/>
        <w:rPr>
          <w:rFonts w:ascii="BMWTypeLight" w:hAnsi="BMWTypeLight"/>
          <w:sz w:val="24"/>
          <w:lang w:val="de-CH" w:eastAsia="de-DE"/>
        </w:rPr>
      </w:pPr>
    </w:p>
    <w:p w:rsidR="00EF344A" w:rsidRPr="00871E5A" w:rsidRDefault="00871E5A">
      <w:pPr>
        <w:pStyle w:val="Titel"/>
        <w:rPr>
          <w:sz w:val="36"/>
          <w:lang w:val="de-CH"/>
        </w:rPr>
      </w:pPr>
      <w:r w:rsidRPr="00871E5A">
        <w:rPr>
          <w:sz w:val="36"/>
          <w:lang w:val="de-CH"/>
        </w:rPr>
        <w:t>BMW Group steigert Absatz im Februar um 21,7% Prozent</w:t>
      </w:r>
    </w:p>
    <w:p w:rsidR="00871E5A" w:rsidRPr="00871E5A" w:rsidRDefault="00871E5A" w:rsidP="00871E5A">
      <w:pPr>
        <w:pStyle w:val="Kopfzeile"/>
        <w:spacing w:line="360" w:lineRule="atLeast"/>
        <w:rPr>
          <w:rFonts w:ascii="BMWTypeLight" w:hAnsi="BMWTypeLight"/>
          <w:kern w:val="0"/>
          <w:sz w:val="36"/>
          <w:szCs w:val="28"/>
          <w:lang w:val="de-CH" w:eastAsia="de-DE"/>
        </w:rPr>
      </w:pPr>
      <w:r w:rsidRPr="00871E5A">
        <w:rPr>
          <w:rFonts w:ascii="BMWTypeLight" w:hAnsi="BMWTypeLight"/>
          <w:kern w:val="0"/>
          <w:sz w:val="36"/>
          <w:szCs w:val="28"/>
          <w:lang w:val="de-CH" w:eastAsia="de-DE"/>
        </w:rPr>
        <w:t xml:space="preserve">Robertson: Profitieren überproportional mit junger, attraktiver Modellpalette </w:t>
      </w:r>
    </w:p>
    <w:p w:rsidR="00EF344A" w:rsidRPr="00871E5A" w:rsidRDefault="00871E5A" w:rsidP="00871E5A">
      <w:pPr>
        <w:pStyle w:val="Kopfzeile"/>
        <w:widowControl/>
        <w:tabs>
          <w:tab w:val="clear" w:pos="4536"/>
          <w:tab w:val="clear" w:pos="9072"/>
        </w:tabs>
        <w:spacing w:line="360" w:lineRule="atLeast"/>
        <w:rPr>
          <w:rFonts w:ascii="BMWTypeLight" w:hAnsi="BMWTypeLight"/>
          <w:kern w:val="0"/>
          <w:szCs w:val="20"/>
          <w:lang w:val="de-CH"/>
        </w:rPr>
      </w:pPr>
      <w:r w:rsidRPr="00871E5A">
        <w:rPr>
          <w:rFonts w:ascii="BMWTypeLight" w:hAnsi="BMWTypeLight"/>
          <w:kern w:val="0"/>
          <w:sz w:val="36"/>
          <w:szCs w:val="28"/>
          <w:lang w:val="de-CH" w:eastAsia="de-DE"/>
        </w:rPr>
        <w:t>Ausgewogenes, zweistelliges Wachstum in Europa, Asien und Amerika</w:t>
      </w:r>
    </w:p>
    <w:p w:rsidR="00EF344A" w:rsidRDefault="00EF344A">
      <w:pPr>
        <w:spacing w:line="360" w:lineRule="atLeast"/>
        <w:rPr>
          <w:rFonts w:ascii="BMWTypeLight" w:hAnsi="BMWTypeLight"/>
          <w:sz w:val="22"/>
          <w:lang w:val="de-CH"/>
        </w:rPr>
      </w:pPr>
    </w:p>
    <w:p w:rsidR="0000276C" w:rsidRPr="00871E5A" w:rsidRDefault="0000276C">
      <w:pPr>
        <w:spacing w:line="360" w:lineRule="atLeast"/>
        <w:rPr>
          <w:rFonts w:ascii="BMWTypeLight" w:hAnsi="BMWTypeLight"/>
          <w:sz w:val="22"/>
          <w:lang w:val="de-CH"/>
        </w:rPr>
      </w:pPr>
    </w:p>
    <w:p w:rsidR="00871E5A" w:rsidRPr="00871E5A" w:rsidRDefault="00871E5A" w:rsidP="00871E5A">
      <w:pPr>
        <w:pStyle w:val="Fliesstext"/>
        <w:spacing w:line="360" w:lineRule="atLeast"/>
        <w:rPr>
          <w:lang w:val="de-CH"/>
        </w:rPr>
      </w:pPr>
      <w:r w:rsidRPr="00871E5A">
        <w:rPr>
          <w:lang w:val="de-CH"/>
        </w:rPr>
        <w:t>Das deutlich zweistellige Absatzwachstum der BMW Group setzte sich im Februar fort. Mit einem Zuwachs von 21,7% im Vergleich zu Februar 2010 wurden insgesamt 111.720 BMW, MINI und Rolls-Royce Automobile an Kunden ausgeliefert (</w:t>
      </w:r>
      <w:proofErr w:type="spellStart"/>
      <w:r w:rsidRPr="00871E5A">
        <w:rPr>
          <w:lang w:val="de-CH"/>
        </w:rPr>
        <w:t>Vj</w:t>
      </w:r>
      <w:proofErr w:type="spellEnd"/>
      <w:r w:rsidRPr="00871E5A">
        <w:rPr>
          <w:lang w:val="de-CH"/>
        </w:rPr>
        <w:t>. 91.763) und damit ein neuer Februar-Höchstwert erreicht. Per Februar legte der Absatz um 24,7% auf 216.911 Einheiten (Vorjahr 173.913) gegenüber den ersten beiden Monaten des Vorjahrs zu.</w:t>
      </w:r>
    </w:p>
    <w:p w:rsidR="00871E5A" w:rsidRPr="00871E5A" w:rsidRDefault="00871E5A" w:rsidP="00871E5A">
      <w:pPr>
        <w:pStyle w:val="Fliesstext"/>
        <w:spacing w:line="360" w:lineRule="atLeast"/>
        <w:rPr>
          <w:lang w:val="de-CH"/>
        </w:rPr>
      </w:pPr>
    </w:p>
    <w:p w:rsidR="00871E5A" w:rsidRPr="00871E5A" w:rsidRDefault="00871E5A" w:rsidP="00871E5A">
      <w:pPr>
        <w:pStyle w:val="Fliesstext"/>
        <w:spacing w:line="360" w:lineRule="atLeast"/>
        <w:rPr>
          <w:lang w:val="de-CH"/>
        </w:rPr>
      </w:pPr>
      <w:r w:rsidRPr="00871E5A">
        <w:rPr>
          <w:lang w:val="de-CH"/>
        </w:rPr>
        <w:t xml:space="preserve">„Mit unserer jungen Fahrzeugflotte profitieren wir derzeit überproportional von der Erholung der Automobilmärkte in vielen Regionen der Welt. Insbesondere die hohe Nachfrage nach den BMW X-Modellen, dem BMW 5er und dem MINI </w:t>
      </w:r>
      <w:proofErr w:type="spellStart"/>
      <w:r w:rsidRPr="00871E5A">
        <w:rPr>
          <w:lang w:val="de-CH"/>
        </w:rPr>
        <w:t>Countryman</w:t>
      </w:r>
      <w:proofErr w:type="spellEnd"/>
      <w:r w:rsidRPr="00871E5A">
        <w:rPr>
          <w:lang w:val="de-CH"/>
        </w:rPr>
        <w:t xml:space="preserve"> zeigt, dass unsere Modellpalette ins Schwarze trifft. Weitere Impulse erwarten wir von der neuen BMW 6er Reihe, die ab Frühjahr auf den Markt kommt“, sagte Ian Robertson, Mitglied des Vorstands der BMW AG für Vertrieb und Marketing. „Wir gehen davon aus, dass unsere Wachstumsdynamik im ersten Halbjahr 2011 anhält. Erst in der zweiten Jahreshälfte werden die Wachstumsraten aufgrund von Basiseffekten etwas moderater ausfallen.“</w:t>
      </w:r>
    </w:p>
    <w:p w:rsidR="00871E5A" w:rsidRPr="00871E5A" w:rsidRDefault="00871E5A" w:rsidP="00871E5A">
      <w:pPr>
        <w:pStyle w:val="Fliesstext"/>
        <w:spacing w:line="360" w:lineRule="atLeast"/>
        <w:rPr>
          <w:lang w:val="de-CH"/>
        </w:rPr>
      </w:pPr>
    </w:p>
    <w:p w:rsidR="00871E5A" w:rsidRPr="00871E5A" w:rsidRDefault="00871E5A" w:rsidP="00871E5A">
      <w:pPr>
        <w:pStyle w:val="Fliesstext"/>
        <w:spacing w:line="360" w:lineRule="atLeast"/>
        <w:rPr>
          <w:lang w:val="de-CH"/>
        </w:rPr>
      </w:pPr>
      <w:r w:rsidRPr="00871E5A">
        <w:rPr>
          <w:lang w:val="de-CH"/>
        </w:rPr>
        <w:t>Der Absatz der BMW Group legte im Februar auf allen Kontinenten und in fast allen</w:t>
      </w:r>
      <w:r>
        <w:rPr>
          <w:lang w:val="de-CH"/>
        </w:rPr>
        <w:t xml:space="preserve"> Märkten zu. In Europa, der gröss</w:t>
      </w:r>
      <w:r w:rsidRPr="00871E5A">
        <w:rPr>
          <w:lang w:val="de-CH"/>
        </w:rPr>
        <w:t>ten Region des Unternehmens, stiegen die Verkäufe um 16,8%  auf 57.381 Einheiten. Asien meldete 25.722 verkaufte Fahrzeuge (+49,3%) während der Absatz in Nord- und Südamerika um 14,7% auf 24.640 Fahrzeuge zulegte.</w:t>
      </w:r>
    </w:p>
    <w:p w:rsidR="00871E5A" w:rsidRPr="00871E5A" w:rsidRDefault="00871E5A" w:rsidP="00871E5A">
      <w:pPr>
        <w:pStyle w:val="Fliesstext"/>
        <w:spacing w:line="360" w:lineRule="atLeast"/>
        <w:rPr>
          <w:lang w:val="de-CH"/>
        </w:rPr>
      </w:pPr>
    </w:p>
    <w:p w:rsidR="00871E5A" w:rsidRPr="00871E5A" w:rsidRDefault="00871E5A" w:rsidP="00871E5A">
      <w:pPr>
        <w:pStyle w:val="Fliesstext"/>
        <w:spacing w:line="360" w:lineRule="atLeast"/>
        <w:rPr>
          <w:lang w:val="de-CH"/>
        </w:rPr>
      </w:pPr>
      <w:r>
        <w:rPr>
          <w:lang w:val="de-CH"/>
        </w:rPr>
        <w:t>In den drei gröss</w:t>
      </w:r>
      <w:r w:rsidRPr="00871E5A">
        <w:rPr>
          <w:lang w:val="de-CH"/>
        </w:rPr>
        <w:t xml:space="preserve">ten Einzelmärkten erzielte die BMW Group im Februar durchweg zweistellige Wachstumsraten. So stiegen die Zulassungen in Deutschland um 20,8% auf 18.883 Fahrzeuge. In den USA setzte das </w:t>
      </w:r>
      <w:r w:rsidRPr="00871E5A">
        <w:rPr>
          <w:lang w:val="de-CH"/>
        </w:rPr>
        <w:lastRenderedPageBreak/>
        <w:t xml:space="preserve">Unternehmen im Februar 19.919 Fahrzeuge ab (+10,8%) während in China insgesamt 16.511 Fahrzeuge (+72%) an Kunden ausgeliefert wurden. </w:t>
      </w:r>
    </w:p>
    <w:p w:rsidR="00871E5A" w:rsidRPr="00871E5A" w:rsidRDefault="00871E5A" w:rsidP="00871E5A">
      <w:pPr>
        <w:pStyle w:val="Fliesstext"/>
        <w:spacing w:line="360" w:lineRule="atLeast"/>
        <w:rPr>
          <w:lang w:val="de-CH"/>
        </w:rPr>
      </w:pPr>
    </w:p>
    <w:p w:rsidR="00871E5A" w:rsidRPr="00871E5A" w:rsidRDefault="00871E5A" w:rsidP="00871E5A">
      <w:pPr>
        <w:pStyle w:val="Fliesstext"/>
        <w:spacing w:line="360" w:lineRule="atLeast"/>
        <w:rPr>
          <w:lang w:val="de-CH"/>
        </w:rPr>
      </w:pPr>
      <w:r w:rsidRPr="00871E5A">
        <w:rPr>
          <w:lang w:val="de-CH"/>
        </w:rPr>
        <w:t xml:space="preserve">Einen starken Anstieg der Verkäufe meldeten auch wichtige aufstrebende Märkte in Asien und Südamerika: So wuchs der Absatz in Süd-Korea im Februar um 54,9% auf 1.797 Einheiten. Die Verkäufe in Indien stiegen um 68,5% auf 620 Fahrzeuge. In Brasilien legte der Absatz um 101,3% auf 938 Fahrzeuge zu. </w:t>
      </w:r>
    </w:p>
    <w:p w:rsidR="00871E5A" w:rsidRPr="00871E5A" w:rsidRDefault="00871E5A" w:rsidP="00871E5A">
      <w:pPr>
        <w:pStyle w:val="Fliesstext"/>
        <w:spacing w:line="360" w:lineRule="atLeast"/>
        <w:rPr>
          <w:lang w:val="de-CH"/>
        </w:rPr>
      </w:pPr>
    </w:p>
    <w:p w:rsidR="00871E5A" w:rsidRPr="00871E5A" w:rsidRDefault="00871E5A" w:rsidP="00871E5A">
      <w:pPr>
        <w:pStyle w:val="Fliesstext"/>
        <w:spacing w:line="360" w:lineRule="atLeast"/>
        <w:rPr>
          <w:lang w:val="de-CH"/>
        </w:rPr>
      </w:pPr>
      <w:r w:rsidRPr="00871E5A">
        <w:rPr>
          <w:lang w:val="de-CH"/>
        </w:rPr>
        <w:t>Von der Marke BMW wurden im Februar weltweit 95.423 Fahrzeuge verkauft. Das ist ein Plus von 21,9% (</w:t>
      </w:r>
      <w:proofErr w:type="spellStart"/>
      <w:r w:rsidRPr="00871E5A">
        <w:rPr>
          <w:lang w:val="de-CH"/>
        </w:rPr>
        <w:t>Vj</w:t>
      </w:r>
      <w:proofErr w:type="spellEnd"/>
      <w:r w:rsidRPr="00871E5A">
        <w:rPr>
          <w:lang w:val="de-CH"/>
        </w:rPr>
        <w:t>. 78.252). Per Februar lag der Absatz mit 186.279 Einheiten um 25,8% über dem entsprechenden Wert des Vorjahres (148.113).</w:t>
      </w:r>
    </w:p>
    <w:p w:rsidR="00871E5A" w:rsidRPr="00871E5A" w:rsidRDefault="00871E5A" w:rsidP="00871E5A">
      <w:pPr>
        <w:pStyle w:val="Fliesstext"/>
        <w:spacing w:line="360" w:lineRule="atLeast"/>
        <w:rPr>
          <w:lang w:val="de-CH"/>
        </w:rPr>
      </w:pPr>
    </w:p>
    <w:p w:rsidR="00871E5A" w:rsidRPr="00871E5A" w:rsidRDefault="00871E5A" w:rsidP="00871E5A">
      <w:pPr>
        <w:pStyle w:val="Fliesstext"/>
        <w:spacing w:line="360" w:lineRule="atLeast"/>
        <w:rPr>
          <w:lang w:val="de-CH"/>
        </w:rPr>
      </w:pPr>
      <w:r w:rsidRPr="00871E5A">
        <w:rPr>
          <w:lang w:val="de-CH"/>
        </w:rPr>
        <w:t>Auch der Absatz der Marke MINI legte weiter zweistellig zu. Im abgelaufenen Monat wurden weltweit mit 16.045 Fahrzeugen 19,3 % mehr MINI als im Februar 2010 (13.444) an Kunden ausgeliefert. Per Februar wurden 30.170 MINI verkauft. Das entspricht einem Plus von 17,6% (</w:t>
      </w:r>
      <w:proofErr w:type="spellStart"/>
      <w:r w:rsidRPr="00871E5A">
        <w:rPr>
          <w:lang w:val="de-CH"/>
        </w:rPr>
        <w:t>Vj</w:t>
      </w:r>
      <w:proofErr w:type="spellEnd"/>
      <w:r w:rsidRPr="00871E5A">
        <w:rPr>
          <w:lang w:val="de-CH"/>
        </w:rPr>
        <w:t>. 25.646) gegenüber den ersten zwei Monaten 2010.</w:t>
      </w:r>
    </w:p>
    <w:p w:rsidR="00871E5A" w:rsidRPr="00871E5A" w:rsidRDefault="00871E5A" w:rsidP="00871E5A">
      <w:pPr>
        <w:pStyle w:val="Fliesstext"/>
        <w:spacing w:line="360" w:lineRule="atLeast"/>
        <w:rPr>
          <w:lang w:val="de-CH"/>
        </w:rPr>
      </w:pPr>
    </w:p>
    <w:p w:rsidR="00871E5A" w:rsidRPr="00871E5A" w:rsidRDefault="00871E5A" w:rsidP="00871E5A">
      <w:pPr>
        <w:pStyle w:val="Fliesstext"/>
        <w:spacing w:line="360" w:lineRule="atLeast"/>
        <w:rPr>
          <w:lang w:val="de-CH"/>
        </w:rPr>
      </w:pPr>
      <w:r w:rsidRPr="00871E5A">
        <w:rPr>
          <w:lang w:val="de-CH"/>
        </w:rPr>
        <w:t>Bei der Marke Rolls-Royce wurden im Februar 252 Automobile ausgeliefert (+276,1%). Per Februar wurden weltweit 462 Rolls-Royce in Kundenhand übergeben (+200%).</w:t>
      </w:r>
    </w:p>
    <w:p w:rsidR="00871E5A" w:rsidRPr="00871E5A" w:rsidRDefault="00871E5A" w:rsidP="00871E5A">
      <w:pPr>
        <w:pStyle w:val="Fliesstext"/>
        <w:spacing w:line="360" w:lineRule="atLeast"/>
        <w:rPr>
          <w:lang w:val="de-CH"/>
        </w:rPr>
      </w:pPr>
    </w:p>
    <w:p w:rsidR="00871E5A" w:rsidRDefault="00871E5A" w:rsidP="00871E5A">
      <w:pPr>
        <w:pStyle w:val="Fliesstext"/>
        <w:spacing w:line="360" w:lineRule="atLeast"/>
        <w:rPr>
          <w:lang w:val="de-CH"/>
        </w:rPr>
      </w:pPr>
      <w:r w:rsidRPr="00871E5A">
        <w:rPr>
          <w:lang w:val="de-CH"/>
        </w:rPr>
        <w:t>Mit einem Absatzzuwachs von 22,5 Prozent erzielte BMW Motorrad im Februar 2011 zum zweiten Mal in Folge einen deutlichen Absatzsprung gegenüber dem entsprechenden Vorjahresmonat. 6.720 BMW Motorräder (</w:t>
      </w:r>
      <w:proofErr w:type="spellStart"/>
      <w:r w:rsidRPr="00871E5A">
        <w:rPr>
          <w:lang w:val="de-CH"/>
        </w:rPr>
        <w:t>Vj</w:t>
      </w:r>
      <w:proofErr w:type="spellEnd"/>
      <w:r w:rsidRPr="00871E5A">
        <w:rPr>
          <w:lang w:val="de-CH"/>
        </w:rPr>
        <w:t xml:space="preserve">. 5.485) wurden im Februar weltweit an Kunden ausgeliefert. Per Februar wurden 11.434 BMW Motorrädern verkauft (+23%). Die zweite Motorradmarke der BMW Group, Husqvarna Motorrad, lieferte im Februar 902 Motorräder (+46,9%) an Kunden aus. Per Februar wuchs der Absatz um 46,1 Prozent auf 1.264 Einheiten. </w:t>
      </w:r>
    </w:p>
    <w:p w:rsidR="0000276C" w:rsidRPr="00871E5A" w:rsidRDefault="0000276C" w:rsidP="00871E5A">
      <w:pPr>
        <w:pStyle w:val="Fliesstext"/>
        <w:spacing w:line="360" w:lineRule="atLeast"/>
        <w:rPr>
          <w:lang w:val="de-CH"/>
        </w:rPr>
      </w:pPr>
    </w:p>
    <w:p w:rsidR="00871E5A" w:rsidRPr="00871E5A" w:rsidRDefault="00871E5A" w:rsidP="00871E5A">
      <w:pPr>
        <w:pStyle w:val="Fliesstext"/>
        <w:spacing w:line="360" w:lineRule="atLeast"/>
        <w:rPr>
          <w:lang w:val="de-CH"/>
        </w:rPr>
      </w:pPr>
      <w:r>
        <w:rPr>
          <w:lang w:val="de-CH"/>
        </w:rPr>
        <w:t>B</w:t>
      </w:r>
      <w:r w:rsidRPr="00871E5A">
        <w:rPr>
          <w:lang w:val="de-CH"/>
        </w:rPr>
        <w:t>MW Group Absatz im Februar 2011 auf einen Blick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1"/>
        <w:gridCol w:w="1484"/>
        <w:gridCol w:w="1485"/>
        <w:gridCol w:w="1422"/>
        <w:gridCol w:w="1485"/>
      </w:tblGrid>
      <w:tr w:rsidR="00871E5A" w:rsidRPr="00234E69" w:rsidTr="00F20B5A">
        <w:tc>
          <w:tcPr>
            <w:tcW w:w="1375" w:type="pct"/>
          </w:tcPr>
          <w:p w:rsidR="00871E5A" w:rsidRPr="00871E5A" w:rsidRDefault="00871E5A" w:rsidP="00F20B5A">
            <w:pPr>
              <w:pStyle w:val="Fliesstext"/>
              <w:spacing w:line="250" w:lineRule="atLeast"/>
              <w:rPr>
                <w:lang w:val="de-CH"/>
              </w:rPr>
            </w:pPr>
          </w:p>
        </w:tc>
        <w:tc>
          <w:tcPr>
            <w:tcW w:w="946" w:type="pct"/>
          </w:tcPr>
          <w:p w:rsidR="00871E5A" w:rsidRPr="00871E5A" w:rsidRDefault="00871E5A" w:rsidP="00F20B5A">
            <w:pPr>
              <w:pStyle w:val="Fliesstext"/>
              <w:tabs>
                <w:tab w:val="clear" w:pos="454"/>
              </w:tabs>
              <w:spacing w:line="250" w:lineRule="atLeast"/>
              <w:jc w:val="center"/>
              <w:rPr>
                <w:lang w:val="de-CH"/>
              </w:rPr>
            </w:pPr>
            <w:r w:rsidRPr="00871E5A">
              <w:rPr>
                <w:lang w:val="de-CH"/>
              </w:rPr>
              <w:t>Im Feb. 2011</w:t>
            </w:r>
          </w:p>
        </w:tc>
        <w:tc>
          <w:tcPr>
            <w:tcW w:w="859" w:type="pct"/>
          </w:tcPr>
          <w:p w:rsidR="00871E5A" w:rsidRPr="00871E5A" w:rsidRDefault="00871E5A" w:rsidP="00F20B5A">
            <w:pPr>
              <w:pStyle w:val="Fliesstext"/>
              <w:tabs>
                <w:tab w:val="clear" w:pos="454"/>
              </w:tabs>
              <w:spacing w:line="250" w:lineRule="atLeast"/>
              <w:jc w:val="center"/>
              <w:rPr>
                <w:lang w:val="de-CH"/>
              </w:rPr>
            </w:pPr>
            <w:proofErr w:type="spellStart"/>
            <w:r w:rsidRPr="00871E5A">
              <w:rPr>
                <w:lang w:val="de-CH"/>
              </w:rPr>
              <w:t>Ggü</w:t>
            </w:r>
            <w:proofErr w:type="spellEnd"/>
            <w:r w:rsidRPr="00871E5A">
              <w:rPr>
                <w:lang w:val="de-CH"/>
              </w:rPr>
              <w:t>. Vorjahr</w:t>
            </w:r>
          </w:p>
        </w:tc>
        <w:tc>
          <w:tcPr>
            <w:tcW w:w="1031" w:type="pct"/>
          </w:tcPr>
          <w:p w:rsidR="00871E5A" w:rsidRPr="00871E5A" w:rsidRDefault="00871E5A" w:rsidP="00F20B5A">
            <w:pPr>
              <w:pStyle w:val="Fliesstext"/>
              <w:tabs>
                <w:tab w:val="clear" w:pos="454"/>
              </w:tabs>
              <w:spacing w:line="250" w:lineRule="atLeast"/>
              <w:jc w:val="center"/>
              <w:rPr>
                <w:lang w:val="de-CH"/>
              </w:rPr>
            </w:pPr>
            <w:r w:rsidRPr="00871E5A">
              <w:rPr>
                <w:lang w:val="de-CH"/>
              </w:rPr>
              <w:t>Per Feb. 2011</w:t>
            </w:r>
          </w:p>
        </w:tc>
        <w:tc>
          <w:tcPr>
            <w:tcW w:w="789" w:type="pct"/>
          </w:tcPr>
          <w:p w:rsidR="00871E5A" w:rsidRPr="00871E5A" w:rsidRDefault="00871E5A" w:rsidP="00F20B5A">
            <w:pPr>
              <w:pStyle w:val="Fliesstext"/>
              <w:tabs>
                <w:tab w:val="clear" w:pos="454"/>
              </w:tabs>
              <w:spacing w:line="250" w:lineRule="atLeast"/>
              <w:jc w:val="center"/>
              <w:rPr>
                <w:lang w:val="de-CH"/>
              </w:rPr>
            </w:pPr>
            <w:proofErr w:type="spellStart"/>
            <w:r w:rsidRPr="00871E5A">
              <w:rPr>
                <w:lang w:val="de-CH"/>
              </w:rPr>
              <w:t>Ggü</w:t>
            </w:r>
            <w:proofErr w:type="spellEnd"/>
            <w:r w:rsidRPr="00871E5A">
              <w:rPr>
                <w:lang w:val="de-CH"/>
              </w:rPr>
              <w:t>. Vorjahr</w:t>
            </w:r>
          </w:p>
        </w:tc>
      </w:tr>
      <w:tr w:rsidR="00871E5A" w:rsidRPr="009D5971" w:rsidTr="00F20B5A">
        <w:tc>
          <w:tcPr>
            <w:tcW w:w="1375" w:type="pct"/>
          </w:tcPr>
          <w:p w:rsidR="00871E5A" w:rsidRPr="00871E5A" w:rsidRDefault="00871E5A" w:rsidP="00F20B5A">
            <w:pPr>
              <w:pStyle w:val="Fliesstext"/>
              <w:spacing w:line="240" w:lineRule="auto"/>
              <w:rPr>
                <w:lang w:val="de-CH"/>
              </w:rPr>
            </w:pPr>
            <w:r w:rsidRPr="00871E5A">
              <w:rPr>
                <w:lang w:val="de-CH"/>
              </w:rPr>
              <w:t>BMW Group Automobile</w:t>
            </w:r>
          </w:p>
        </w:tc>
        <w:tc>
          <w:tcPr>
            <w:tcW w:w="946" w:type="pct"/>
          </w:tcPr>
          <w:p w:rsidR="00871E5A" w:rsidRPr="00871E5A" w:rsidRDefault="00871E5A" w:rsidP="00F20B5A">
            <w:pPr>
              <w:pStyle w:val="Fliesstext"/>
              <w:spacing w:line="250" w:lineRule="atLeast"/>
              <w:ind w:right="448"/>
              <w:jc w:val="right"/>
              <w:rPr>
                <w:lang w:val="de-CH"/>
              </w:rPr>
            </w:pPr>
            <w:r w:rsidRPr="00871E5A">
              <w:rPr>
                <w:lang w:val="de-CH"/>
              </w:rPr>
              <w:t>111.720</w:t>
            </w:r>
          </w:p>
        </w:tc>
        <w:tc>
          <w:tcPr>
            <w:tcW w:w="85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+21,7%</w:t>
            </w:r>
          </w:p>
        </w:tc>
        <w:tc>
          <w:tcPr>
            <w:tcW w:w="1031" w:type="pct"/>
          </w:tcPr>
          <w:p w:rsidR="00871E5A" w:rsidRPr="00871E5A" w:rsidRDefault="00871E5A" w:rsidP="00F20B5A">
            <w:pPr>
              <w:pStyle w:val="Fliesstext"/>
              <w:spacing w:line="250" w:lineRule="atLeast"/>
              <w:ind w:left="65" w:right="386" w:hanging="65"/>
              <w:jc w:val="right"/>
              <w:rPr>
                <w:lang w:val="de-CH"/>
              </w:rPr>
            </w:pPr>
            <w:r w:rsidRPr="00871E5A">
              <w:rPr>
                <w:lang w:val="de-CH"/>
              </w:rPr>
              <w:t>216.911</w:t>
            </w:r>
          </w:p>
        </w:tc>
        <w:tc>
          <w:tcPr>
            <w:tcW w:w="78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+24,7%</w:t>
            </w:r>
          </w:p>
        </w:tc>
      </w:tr>
      <w:tr w:rsidR="00871E5A" w:rsidRPr="009D5971" w:rsidTr="00F20B5A">
        <w:tc>
          <w:tcPr>
            <w:tcW w:w="1375" w:type="pct"/>
          </w:tcPr>
          <w:p w:rsidR="00871E5A" w:rsidRPr="00871E5A" w:rsidRDefault="00871E5A" w:rsidP="00F20B5A">
            <w:pPr>
              <w:pStyle w:val="Fliesstext"/>
              <w:spacing w:line="250" w:lineRule="atLeast"/>
              <w:rPr>
                <w:lang w:val="de-CH"/>
              </w:rPr>
            </w:pPr>
            <w:r w:rsidRPr="00871E5A">
              <w:rPr>
                <w:lang w:val="de-CH"/>
              </w:rPr>
              <w:t>BMW</w:t>
            </w:r>
          </w:p>
        </w:tc>
        <w:tc>
          <w:tcPr>
            <w:tcW w:w="946" w:type="pct"/>
          </w:tcPr>
          <w:p w:rsidR="00871E5A" w:rsidRPr="00871E5A" w:rsidRDefault="00871E5A" w:rsidP="00F20B5A">
            <w:pPr>
              <w:pStyle w:val="Fliesstext"/>
              <w:spacing w:line="250" w:lineRule="atLeast"/>
              <w:ind w:right="448"/>
              <w:jc w:val="right"/>
              <w:rPr>
                <w:lang w:val="de-CH"/>
              </w:rPr>
            </w:pPr>
            <w:r w:rsidRPr="00871E5A">
              <w:rPr>
                <w:lang w:val="de-CH"/>
              </w:rPr>
              <w:t>95.423</w:t>
            </w:r>
          </w:p>
        </w:tc>
        <w:tc>
          <w:tcPr>
            <w:tcW w:w="85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+21,9%</w:t>
            </w:r>
          </w:p>
        </w:tc>
        <w:tc>
          <w:tcPr>
            <w:tcW w:w="1031" w:type="pct"/>
          </w:tcPr>
          <w:p w:rsidR="00871E5A" w:rsidRPr="00871E5A" w:rsidRDefault="00871E5A" w:rsidP="00F20B5A">
            <w:pPr>
              <w:pStyle w:val="Fliesstext"/>
              <w:spacing w:line="250" w:lineRule="atLeast"/>
              <w:ind w:left="65" w:right="386" w:hanging="65"/>
              <w:jc w:val="right"/>
              <w:rPr>
                <w:lang w:val="de-CH"/>
              </w:rPr>
            </w:pPr>
            <w:r w:rsidRPr="00871E5A">
              <w:rPr>
                <w:lang w:val="de-CH"/>
              </w:rPr>
              <w:t>186.279</w:t>
            </w:r>
          </w:p>
        </w:tc>
        <w:tc>
          <w:tcPr>
            <w:tcW w:w="78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+25,8%</w:t>
            </w:r>
          </w:p>
        </w:tc>
      </w:tr>
      <w:tr w:rsidR="00871E5A" w:rsidRPr="009D5971" w:rsidTr="00F20B5A">
        <w:tc>
          <w:tcPr>
            <w:tcW w:w="1375" w:type="pct"/>
          </w:tcPr>
          <w:p w:rsidR="00871E5A" w:rsidRPr="00871E5A" w:rsidRDefault="00871E5A" w:rsidP="00F20B5A">
            <w:pPr>
              <w:pStyle w:val="Fliesstext"/>
              <w:spacing w:line="250" w:lineRule="atLeast"/>
              <w:rPr>
                <w:lang w:val="de-CH"/>
              </w:rPr>
            </w:pPr>
            <w:r w:rsidRPr="00871E5A">
              <w:rPr>
                <w:lang w:val="de-CH"/>
              </w:rPr>
              <w:t>MINI</w:t>
            </w:r>
          </w:p>
        </w:tc>
        <w:tc>
          <w:tcPr>
            <w:tcW w:w="946" w:type="pct"/>
          </w:tcPr>
          <w:p w:rsidR="00871E5A" w:rsidRPr="00871E5A" w:rsidRDefault="00871E5A" w:rsidP="00F20B5A">
            <w:pPr>
              <w:pStyle w:val="Fliesstext"/>
              <w:spacing w:line="250" w:lineRule="atLeast"/>
              <w:ind w:right="448"/>
              <w:jc w:val="right"/>
              <w:rPr>
                <w:lang w:val="de-CH"/>
              </w:rPr>
            </w:pPr>
            <w:r w:rsidRPr="00871E5A">
              <w:rPr>
                <w:lang w:val="de-CH"/>
              </w:rPr>
              <w:t>16.045</w:t>
            </w:r>
          </w:p>
        </w:tc>
        <w:tc>
          <w:tcPr>
            <w:tcW w:w="85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+19,3%</w:t>
            </w:r>
          </w:p>
        </w:tc>
        <w:tc>
          <w:tcPr>
            <w:tcW w:w="1031" w:type="pct"/>
          </w:tcPr>
          <w:p w:rsidR="00871E5A" w:rsidRPr="00871E5A" w:rsidRDefault="00871E5A" w:rsidP="00F20B5A">
            <w:pPr>
              <w:pStyle w:val="Fliesstext"/>
              <w:spacing w:line="250" w:lineRule="atLeast"/>
              <w:ind w:left="65" w:right="386" w:hanging="65"/>
              <w:jc w:val="right"/>
              <w:rPr>
                <w:lang w:val="de-CH"/>
              </w:rPr>
            </w:pPr>
            <w:r w:rsidRPr="00871E5A">
              <w:rPr>
                <w:lang w:val="de-CH"/>
              </w:rPr>
              <w:t>30.170</w:t>
            </w:r>
          </w:p>
        </w:tc>
        <w:tc>
          <w:tcPr>
            <w:tcW w:w="78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+17,6%</w:t>
            </w:r>
          </w:p>
        </w:tc>
      </w:tr>
      <w:tr w:rsidR="00871E5A" w:rsidRPr="009D5971" w:rsidTr="00F20B5A">
        <w:tc>
          <w:tcPr>
            <w:tcW w:w="1375" w:type="pct"/>
          </w:tcPr>
          <w:p w:rsidR="00871E5A" w:rsidRPr="00871E5A" w:rsidRDefault="00871E5A" w:rsidP="00F20B5A">
            <w:pPr>
              <w:pStyle w:val="Fliesstext"/>
              <w:spacing w:line="250" w:lineRule="atLeast"/>
              <w:rPr>
                <w:lang w:val="de-CH"/>
              </w:rPr>
            </w:pPr>
            <w:r w:rsidRPr="00871E5A">
              <w:rPr>
                <w:lang w:val="de-CH"/>
              </w:rPr>
              <w:t>Rolls-Royce Motor Cars</w:t>
            </w:r>
          </w:p>
        </w:tc>
        <w:tc>
          <w:tcPr>
            <w:tcW w:w="946" w:type="pct"/>
          </w:tcPr>
          <w:p w:rsidR="00871E5A" w:rsidRPr="00871E5A" w:rsidRDefault="00871E5A" w:rsidP="00F20B5A">
            <w:pPr>
              <w:pStyle w:val="Fliesstext"/>
              <w:spacing w:line="250" w:lineRule="atLeast"/>
              <w:ind w:right="448"/>
              <w:jc w:val="right"/>
              <w:rPr>
                <w:lang w:val="de-CH"/>
              </w:rPr>
            </w:pPr>
            <w:r w:rsidRPr="00871E5A">
              <w:rPr>
                <w:lang w:val="de-CH"/>
              </w:rPr>
              <w:t>252</w:t>
            </w:r>
          </w:p>
        </w:tc>
        <w:tc>
          <w:tcPr>
            <w:tcW w:w="85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+276,1%</w:t>
            </w:r>
          </w:p>
        </w:tc>
        <w:tc>
          <w:tcPr>
            <w:tcW w:w="1031" w:type="pct"/>
          </w:tcPr>
          <w:p w:rsidR="00871E5A" w:rsidRPr="00871E5A" w:rsidRDefault="00871E5A" w:rsidP="00F20B5A">
            <w:pPr>
              <w:pStyle w:val="Fliesstext"/>
              <w:spacing w:line="250" w:lineRule="atLeast"/>
              <w:ind w:left="65" w:right="386" w:hanging="65"/>
              <w:jc w:val="right"/>
              <w:rPr>
                <w:lang w:val="de-CH"/>
              </w:rPr>
            </w:pPr>
            <w:r w:rsidRPr="00871E5A">
              <w:rPr>
                <w:lang w:val="de-CH"/>
              </w:rPr>
              <w:t>462</w:t>
            </w:r>
          </w:p>
        </w:tc>
        <w:tc>
          <w:tcPr>
            <w:tcW w:w="78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+200,0%</w:t>
            </w:r>
          </w:p>
        </w:tc>
      </w:tr>
      <w:tr w:rsidR="00871E5A" w:rsidRPr="00931F06" w:rsidTr="00F20B5A">
        <w:trPr>
          <w:trHeight w:val="283"/>
        </w:trPr>
        <w:tc>
          <w:tcPr>
            <w:tcW w:w="1375" w:type="pct"/>
          </w:tcPr>
          <w:p w:rsidR="00871E5A" w:rsidRPr="00871E5A" w:rsidRDefault="00871E5A" w:rsidP="00F20B5A">
            <w:pPr>
              <w:pStyle w:val="Fliesstext"/>
              <w:spacing w:line="250" w:lineRule="atLeast"/>
              <w:rPr>
                <w:lang w:val="de-CH"/>
              </w:rPr>
            </w:pPr>
            <w:r w:rsidRPr="00871E5A">
              <w:rPr>
                <w:lang w:val="de-CH"/>
              </w:rPr>
              <w:t>BMW Mot</w:t>
            </w:r>
            <w:proofErr w:type="spellStart"/>
            <w:r w:rsidRPr="00871E5A">
              <w:rPr>
                <w:lang w:val="de-CH"/>
              </w:rPr>
              <w:t>orräder</w:t>
            </w:r>
            <w:proofErr w:type="spellEnd"/>
          </w:p>
        </w:tc>
        <w:tc>
          <w:tcPr>
            <w:tcW w:w="946" w:type="pct"/>
          </w:tcPr>
          <w:p w:rsidR="00871E5A" w:rsidRPr="00871E5A" w:rsidRDefault="00871E5A" w:rsidP="00F20B5A">
            <w:pPr>
              <w:pStyle w:val="Fliesstext"/>
              <w:spacing w:line="250" w:lineRule="atLeast"/>
              <w:ind w:right="448"/>
              <w:jc w:val="right"/>
              <w:rPr>
                <w:lang w:val="de-CH"/>
              </w:rPr>
            </w:pPr>
            <w:r w:rsidRPr="00871E5A">
              <w:rPr>
                <w:lang w:val="de-CH"/>
              </w:rPr>
              <w:t>6.720</w:t>
            </w:r>
          </w:p>
        </w:tc>
        <w:tc>
          <w:tcPr>
            <w:tcW w:w="85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+22,5%</w:t>
            </w:r>
          </w:p>
        </w:tc>
        <w:tc>
          <w:tcPr>
            <w:tcW w:w="1031" w:type="pct"/>
          </w:tcPr>
          <w:p w:rsidR="00871E5A" w:rsidRPr="00871E5A" w:rsidRDefault="00871E5A" w:rsidP="00F20B5A">
            <w:pPr>
              <w:pStyle w:val="Fliesstext"/>
              <w:spacing w:line="250" w:lineRule="atLeast"/>
              <w:ind w:left="65" w:right="386" w:hanging="65"/>
              <w:jc w:val="right"/>
              <w:rPr>
                <w:lang w:val="de-CH"/>
              </w:rPr>
            </w:pPr>
            <w:r w:rsidRPr="00871E5A">
              <w:rPr>
                <w:lang w:val="de-CH"/>
              </w:rPr>
              <w:t>11.434</w:t>
            </w:r>
          </w:p>
        </w:tc>
        <w:tc>
          <w:tcPr>
            <w:tcW w:w="78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+23,0%</w:t>
            </w:r>
          </w:p>
        </w:tc>
      </w:tr>
      <w:tr w:rsidR="00871E5A" w:rsidRPr="00931F06" w:rsidTr="00F20B5A">
        <w:trPr>
          <w:trHeight w:val="283"/>
        </w:trPr>
        <w:tc>
          <w:tcPr>
            <w:tcW w:w="1375" w:type="pct"/>
          </w:tcPr>
          <w:p w:rsidR="00871E5A" w:rsidRPr="00871E5A" w:rsidRDefault="00871E5A" w:rsidP="00F20B5A">
            <w:pPr>
              <w:pStyle w:val="Fliesstext"/>
              <w:spacing w:line="250" w:lineRule="atLeast"/>
              <w:rPr>
                <w:lang w:val="de-CH"/>
              </w:rPr>
            </w:pPr>
            <w:proofErr w:type="spellStart"/>
            <w:r w:rsidRPr="00871E5A">
              <w:rPr>
                <w:lang w:val="de-CH"/>
              </w:rPr>
              <w:t>Husqvarna</w:t>
            </w:r>
            <w:proofErr w:type="spellEnd"/>
            <w:r w:rsidRPr="00871E5A">
              <w:rPr>
                <w:lang w:val="de-CH"/>
              </w:rPr>
              <w:t xml:space="preserve"> </w:t>
            </w:r>
            <w:r w:rsidRPr="00871E5A">
              <w:rPr>
                <w:lang w:val="de-CH"/>
              </w:rPr>
              <w:lastRenderedPageBreak/>
              <w:t>Motorcycles</w:t>
            </w:r>
          </w:p>
        </w:tc>
        <w:tc>
          <w:tcPr>
            <w:tcW w:w="946" w:type="pct"/>
          </w:tcPr>
          <w:p w:rsidR="00871E5A" w:rsidRPr="00871E5A" w:rsidRDefault="00871E5A" w:rsidP="00F20B5A">
            <w:pPr>
              <w:pStyle w:val="Fliesstext"/>
              <w:spacing w:line="250" w:lineRule="atLeast"/>
              <w:ind w:right="448"/>
              <w:jc w:val="right"/>
              <w:rPr>
                <w:lang w:val="de-CH"/>
              </w:rPr>
            </w:pPr>
            <w:r w:rsidRPr="00871E5A">
              <w:rPr>
                <w:lang w:val="de-CH"/>
              </w:rPr>
              <w:lastRenderedPageBreak/>
              <w:t>902</w:t>
            </w:r>
          </w:p>
        </w:tc>
        <w:tc>
          <w:tcPr>
            <w:tcW w:w="85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+46,9%</w:t>
            </w:r>
          </w:p>
        </w:tc>
        <w:tc>
          <w:tcPr>
            <w:tcW w:w="1031" w:type="pct"/>
          </w:tcPr>
          <w:p w:rsidR="00871E5A" w:rsidRPr="00871E5A" w:rsidRDefault="00871E5A" w:rsidP="00F20B5A">
            <w:pPr>
              <w:pStyle w:val="Fliesstext"/>
              <w:spacing w:line="250" w:lineRule="atLeast"/>
              <w:ind w:left="65" w:right="386" w:hanging="65"/>
              <w:jc w:val="right"/>
              <w:rPr>
                <w:lang w:val="de-CH"/>
              </w:rPr>
            </w:pPr>
            <w:r w:rsidRPr="00871E5A">
              <w:rPr>
                <w:lang w:val="de-CH"/>
              </w:rPr>
              <w:t>1.264</w:t>
            </w:r>
          </w:p>
        </w:tc>
        <w:tc>
          <w:tcPr>
            <w:tcW w:w="789" w:type="pct"/>
          </w:tcPr>
          <w:p w:rsidR="00871E5A" w:rsidRPr="00871E5A" w:rsidRDefault="00871E5A" w:rsidP="00F20B5A">
            <w:pPr>
              <w:pStyle w:val="Fliesstext"/>
              <w:tabs>
                <w:tab w:val="clear" w:pos="454"/>
                <w:tab w:val="decimal" w:pos="642"/>
              </w:tabs>
              <w:spacing w:line="250" w:lineRule="atLeast"/>
              <w:ind w:right="367"/>
              <w:jc w:val="right"/>
              <w:rPr>
                <w:lang w:val="de-CH"/>
              </w:rPr>
            </w:pPr>
            <w:r w:rsidRPr="00871E5A">
              <w:rPr>
                <w:lang w:val="de-CH"/>
              </w:rPr>
              <w:t>+46,1%</w:t>
            </w:r>
          </w:p>
        </w:tc>
      </w:tr>
    </w:tbl>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871E5A" w:rsidRDefault="00A521CB" w:rsidP="00A521CB">
      <w:pPr>
        <w:tabs>
          <w:tab w:val="left" w:pos="3828"/>
        </w:tabs>
        <w:spacing w:line="360" w:lineRule="atLeast"/>
        <w:rPr>
          <w:rFonts w:ascii="BMWTypeLight" w:hAnsi="BMWTypeLight"/>
          <w:sz w:val="22"/>
          <w:szCs w:val="24"/>
          <w:lang w:val="en-US"/>
        </w:rPr>
      </w:pPr>
      <w:r>
        <w:rPr>
          <w:rFonts w:ascii="BMWTypeLight" w:hAnsi="BMWTypeLight"/>
          <w:sz w:val="22"/>
          <w:szCs w:val="24"/>
          <w:lang w:val="de-DE"/>
        </w:rPr>
        <w:tab/>
      </w:r>
      <w:r w:rsidRPr="00871E5A">
        <w:rPr>
          <w:rFonts w:ascii="BMWTypeLight" w:hAnsi="BMWTypeLight"/>
          <w:sz w:val="22"/>
          <w:szCs w:val="24"/>
          <w:lang w:val="en-US"/>
        </w:rPr>
        <w:t>Corporate Communications</w:t>
      </w:r>
    </w:p>
    <w:p w:rsidR="00A521CB" w:rsidRPr="00871E5A" w:rsidRDefault="00A521CB" w:rsidP="00A521CB">
      <w:pPr>
        <w:tabs>
          <w:tab w:val="left" w:pos="3828"/>
        </w:tabs>
        <w:spacing w:line="360" w:lineRule="atLeast"/>
        <w:rPr>
          <w:rFonts w:ascii="BMWTypeLight" w:hAnsi="BMWTypeLight"/>
          <w:sz w:val="22"/>
          <w:szCs w:val="24"/>
          <w:lang w:val="en-US"/>
        </w:rPr>
      </w:pPr>
      <w:r w:rsidRPr="00871E5A">
        <w:rPr>
          <w:rFonts w:ascii="BMWTypeLight" w:hAnsi="BMWTypeLight"/>
          <w:sz w:val="22"/>
          <w:szCs w:val="24"/>
          <w:lang w:val="en-US"/>
        </w:rPr>
        <w:tab/>
        <w:t>Beda Durrer</w:t>
      </w:r>
    </w:p>
    <w:p w:rsidR="00A521CB" w:rsidRPr="00871E5A"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en-US"/>
        </w:rPr>
      </w:pPr>
      <w:r w:rsidRPr="00871E5A">
        <w:rPr>
          <w:rFonts w:ascii="BMWTypeLight" w:hAnsi="BMWTypeLight"/>
          <w:kern w:val="0"/>
          <w:szCs w:val="24"/>
          <w:lang w:val="en-US"/>
        </w:rPr>
        <w:tab/>
      </w:r>
      <w:proofErr w:type="spellStart"/>
      <w:r w:rsidRPr="00871E5A">
        <w:rPr>
          <w:rFonts w:ascii="BMWTypeLight" w:hAnsi="BMWTypeLight"/>
          <w:kern w:val="0"/>
          <w:szCs w:val="24"/>
          <w:lang w:val="en-US"/>
        </w:rPr>
        <w:t>Industriestrasse</w:t>
      </w:r>
      <w:proofErr w:type="spellEnd"/>
      <w:r w:rsidRPr="00871E5A">
        <w:rPr>
          <w:rFonts w:ascii="BMWTypeLight" w:hAnsi="BMWTypeLight"/>
          <w:kern w:val="0"/>
          <w:szCs w:val="24"/>
          <w:lang w:val="en-US"/>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871E5A">
        <w:rPr>
          <w:rFonts w:ascii="BMWTypeLight" w:hAnsi="BMWTypeLight"/>
          <w:sz w:val="22"/>
          <w:szCs w:val="24"/>
          <w:lang w:val="en-US"/>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A521CB">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83557">
      <w:pPr>
        <w:rPr>
          <w:rFonts w:ascii="BMWTypeLight" w:hAnsi="BMWTypeLight" w:cs="BMWType V2 Light"/>
          <w:sz w:val="22"/>
          <w:szCs w:val="22"/>
          <w:lang w:val="de-DE"/>
        </w:rPr>
      </w:pPr>
    </w:p>
    <w:p w:rsidR="007D54E8" w:rsidRPr="00983557" w:rsidRDefault="007D54E8" w:rsidP="00983557">
      <w:pPr>
        <w:pStyle w:val="Kopfzeile"/>
        <w:spacing w:line="240" w:lineRule="auto"/>
        <w:rPr>
          <w:rFonts w:ascii="BMWTypeLight" w:hAnsi="BMWTypeLight" w:cs="BMWType V2 Light"/>
          <w:kern w:val="0"/>
        </w:rPr>
      </w:pPr>
    </w:p>
    <w:p w:rsidR="007D54E8" w:rsidRPr="001B5F2C" w:rsidRDefault="007D54E8" w:rsidP="007D54E8">
      <w:pPr>
        <w:spacing w:line="360" w:lineRule="auto"/>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E54F07"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E54F07" w:rsidRPr="001B5F2C">
        <w:rPr>
          <w:rFonts w:ascii="BMWTypeLight" w:hAnsi="BMWTypeLight" w:cs="BMWType V2 Light"/>
          <w:sz w:val="22"/>
          <w:szCs w:val="22"/>
          <w:lang w:val="de-CH"/>
        </w:rPr>
        <w:fldChar w:fldCharType="separate"/>
      </w:r>
      <w:r w:rsidR="00871E5A">
        <w:rPr>
          <w:rFonts w:ascii="BMWTypeLight" w:hAnsi="BMWTypeLight" w:cs="BMWType V2 Light"/>
          <w:noProof/>
          <w:sz w:val="22"/>
          <w:szCs w:val="22"/>
          <w:lang w:val="de-CH"/>
        </w:rPr>
        <w:t>10. März 2011</w:t>
      </w:r>
      <w:r w:rsidR="00E54F07"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Die BMW Group setzte im Geschäftsjahr 2010 weltweit rund 1,46 Millionen Automobile und über 98.000 Motorräder ab. </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altName w:val="Swis721 B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0276C"/>
    <w:rsid w:val="000D7A50"/>
    <w:rsid w:val="001B5F2C"/>
    <w:rsid w:val="001E4A43"/>
    <w:rsid w:val="00205869"/>
    <w:rsid w:val="003710D1"/>
    <w:rsid w:val="00411F93"/>
    <w:rsid w:val="004866D6"/>
    <w:rsid w:val="00496D3A"/>
    <w:rsid w:val="004A0048"/>
    <w:rsid w:val="005201C5"/>
    <w:rsid w:val="005B51DE"/>
    <w:rsid w:val="00731224"/>
    <w:rsid w:val="007B350C"/>
    <w:rsid w:val="007D54E8"/>
    <w:rsid w:val="00860467"/>
    <w:rsid w:val="00871E5A"/>
    <w:rsid w:val="00946316"/>
    <w:rsid w:val="00983557"/>
    <w:rsid w:val="00A521CB"/>
    <w:rsid w:val="00AC2DF7"/>
    <w:rsid w:val="00AC654D"/>
    <w:rsid w:val="00B3436D"/>
    <w:rsid w:val="00BE1268"/>
    <w:rsid w:val="00C2491C"/>
    <w:rsid w:val="00D00005"/>
    <w:rsid w:val="00E54F07"/>
    <w:rsid w:val="00EF344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4671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Tikoski Nazime, V1-CH-F-4</cp:lastModifiedBy>
  <cp:revision>3</cp:revision>
  <cp:lastPrinted>2005-10-19T08:27:00Z</cp:lastPrinted>
  <dcterms:created xsi:type="dcterms:W3CDTF">2011-03-10T07:50:00Z</dcterms:created>
  <dcterms:modified xsi:type="dcterms:W3CDTF">2011-03-10T07:54:00Z</dcterms:modified>
</cp:coreProperties>
</file>